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0D72A9" w14:textId="06DC4BB2" w:rsidR="00C71566" w:rsidRPr="007B4A19" w:rsidRDefault="00C71566" w:rsidP="00C71566">
      <w:pPr>
        <w:pStyle w:val="Nazevcasti"/>
        <w:jc w:val="left"/>
        <w:rPr>
          <w:rFonts w:ascii="Book Antiqua" w:eastAsia="Times New Roman" w:hAnsi="Book Antiqua"/>
          <w:caps w:val="0"/>
          <w:sz w:val="22"/>
          <w:szCs w:val="22"/>
          <w:lang w:eastAsia="en-US"/>
        </w:rPr>
      </w:pPr>
      <w:bookmarkStart w:id="0" w:name="_Toc514834549"/>
      <w:r w:rsidRPr="007B4A19">
        <w:rPr>
          <w:rFonts w:ascii="Book Antiqua" w:eastAsia="Times New Roman" w:hAnsi="Book Antiqua"/>
          <w:caps w:val="0"/>
          <w:sz w:val="22"/>
          <w:szCs w:val="22"/>
          <w:lang w:eastAsia="en-US"/>
        </w:rPr>
        <w:t xml:space="preserve">Příloha č. </w:t>
      </w:r>
      <w:r w:rsidR="00B125A7">
        <w:rPr>
          <w:rFonts w:ascii="Book Antiqua" w:eastAsia="Times New Roman" w:hAnsi="Book Antiqua"/>
          <w:caps w:val="0"/>
          <w:sz w:val="22"/>
          <w:szCs w:val="22"/>
          <w:lang w:eastAsia="en-US"/>
        </w:rPr>
        <w:t>8</w:t>
      </w:r>
      <w:r w:rsidR="00B125A7" w:rsidRPr="007B4A19">
        <w:rPr>
          <w:rFonts w:ascii="Book Antiqua" w:eastAsia="Times New Roman" w:hAnsi="Book Antiqua"/>
          <w:caps w:val="0"/>
          <w:sz w:val="22"/>
          <w:szCs w:val="22"/>
          <w:lang w:eastAsia="en-US"/>
        </w:rPr>
        <w:t xml:space="preserve"> </w:t>
      </w:r>
      <w:r w:rsidRPr="007B4A19">
        <w:rPr>
          <w:rFonts w:ascii="Book Antiqua" w:eastAsia="Times New Roman" w:hAnsi="Book Antiqua"/>
          <w:caps w:val="0"/>
          <w:sz w:val="22"/>
          <w:szCs w:val="22"/>
          <w:lang w:eastAsia="en-US"/>
        </w:rPr>
        <w:t xml:space="preserve">– Technická </w:t>
      </w:r>
      <w:r w:rsidR="00A1267A" w:rsidRPr="007B4A19">
        <w:rPr>
          <w:rFonts w:ascii="Book Antiqua" w:eastAsia="Times New Roman" w:hAnsi="Book Antiqua"/>
          <w:caps w:val="0"/>
          <w:sz w:val="22"/>
          <w:szCs w:val="22"/>
          <w:lang w:eastAsia="en-US"/>
        </w:rPr>
        <w:t xml:space="preserve">specifikace </w:t>
      </w:r>
    </w:p>
    <w:p w14:paraId="020E9E93" w14:textId="3682CB14" w:rsidR="00C71566" w:rsidRPr="007B4A19" w:rsidRDefault="00C71566" w:rsidP="0089644D">
      <w:pPr>
        <w:pStyle w:val="Nazevcasti"/>
        <w:jc w:val="both"/>
        <w:rPr>
          <w:rFonts w:ascii="Book Antiqua" w:eastAsia="Times New Roman" w:hAnsi="Book Antiqua"/>
          <w:b w:val="0"/>
          <w:caps w:val="0"/>
          <w:sz w:val="22"/>
          <w:szCs w:val="22"/>
          <w:lang w:eastAsia="en-US"/>
        </w:rPr>
      </w:pPr>
      <w:r w:rsidRPr="007B4A19">
        <w:rPr>
          <w:rFonts w:ascii="Book Antiqua" w:eastAsia="Times New Roman" w:hAnsi="Book Antiqua"/>
          <w:b w:val="0"/>
          <w:caps w:val="0"/>
          <w:sz w:val="22"/>
          <w:szCs w:val="22"/>
          <w:lang w:eastAsia="en-US"/>
        </w:rPr>
        <w:t xml:space="preserve">Objednatel dává Zhotoviteli na vědomí, že tato příloha </w:t>
      </w:r>
      <w:r w:rsidR="007B4A19" w:rsidRPr="007B4A19">
        <w:rPr>
          <w:rFonts w:ascii="Book Antiqua" w:eastAsia="Times New Roman" w:hAnsi="Book Antiqua"/>
          <w:b w:val="0"/>
          <w:caps w:val="0"/>
          <w:sz w:val="22"/>
          <w:szCs w:val="22"/>
          <w:lang w:eastAsia="en-US"/>
        </w:rPr>
        <w:t>tvoří</w:t>
      </w:r>
      <w:r w:rsidRPr="007B4A19">
        <w:rPr>
          <w:rFonts w:ascii="Book Antiqua" w:eastAsia="Times New Roman" w:hAnsi="Book Antiqua"/>
          <w:b w:val="0"/>
          <w:caps w:val="0"/>
          <w:sz w:val="22"/>
          <w:szCs w:val="22"/>
          <w:lang w:eastAsia="en-US"/>
        </w:rPr>
        <w:t xml:space="preserve"> Technick</w:t>
      </w:r>
      <w:r w:rsidR="007B4A19" w:rsidRPr="007B4A19">
        <w:rPr>
          <w:rFonts w:ascii="Book Antiqua" w:eastAsia="Times New Roman" w:hAnsi="Book Antiqua"/>
          <w:b w:val="0"/>
          <w:caps w:val="0"/>
          <w:sz w:val="22"/>
          <w:szCs w:val="22"/>
          <w:lang w:eastAsia="en-US"/>
        </w:rPr>
        <w:t>ou</w:t>
      </w:r>
      <w:r w:rsidRPr="007B4A19">
        <w:rPr>
          <w:rFonts w:ascii="Book Antiqua" w:eastAsia="Times New Roman" w:hAnsi="Book Antiqua"/>
          <w:b w:val="0"/>
          <w:caps w:val="0"/>
          <w:sz w:val="22"/>
          <w:szCs w:val="22"/>
          <w:lang w:eastAsia="en-US"/>
        </w:rPr>
        <w:t xml:space="preserve"> specifikac</w:t>
      </w:r>
      <w:r w:rsidR="007B4A19" w:rsidRPr="007B4A19">
        <w:rPr>
          <w:rFonts w:ascii="Book Antiqua" w:eastAsia="Times New Roman" w:hAnsi="Book Antiqua"/>
          <w:b w:val="0"/>
          <w:caps w:val="0"/>
          <w:sz w:val="22"/>
          <w:szCs w:val="22"/>
          <w:lang w:eastAsia="en-US"/>
        </w:rPr>
        <w:t>i podle Pod-čl. 1.1</w:t>
      </w:r>
      <w:r w:rsidR="007C1755">
        <w:rPr>
          <w:rFonts w:ascii="Book Antiqua" w:eastAsia="Times New Roman" w:hAnsi="Book Antiqua"/>
          <w:b w:val="0"/>
          <w:caps w:val="0"/>
          <w:sz w:val="22"/>
          <w:szCs w:val="22"/>
          <w:lang w:eastAsia="en-US"/>
        </w:rPr>
        <w:t>.2</w:t>
      </w:r>
      <w:r w:rsidR="007B4A19" w:rsidRPr="007B4A19">
        <w:rPr>
          <w:rFonts w:ascii="Book Antiqua" w:eastAsia="Times New Roman" w:hAnsi="Book Antiqua"/>
          <w:b w:val="0"/>
          <w:caps w:val="0"/>
          <w:sz w:val="22"/>
          <w:szCs w:val="22"/>
          <w:lang w:eastAsia="en-US"/>
        </w:rPr>
        <w:t xml:space="preserve"> Smluvních podmínek.</w:t>
      </w:r>
      <w:r w:rsidRPr="007B4A19">
        <w:rPr>
          <w:rFonts w:ascii="Book Antiqua" w:eastAsia="Times New Roman" w:hAnsi="Book Antiqua"/>
          <w:b w:val="0"/>
          <w:caps w:val="0"/>
          <w:sz w:val="22"/>
          <w:szCs w:val="22"/>
          <w:lang w:eastAsia="en-US"/>
        </w:rPr>
        <w:t xml:space="preserve"> </w:t>
      </w:r>
    </w:p>
    <w:p w14:paraId="710AF4C2" w14:textId="7EBC535F" w:rsidR="00072BD9" w:rsidRPr="00566E08" w:rsidRDefault="00072BD9" w:rsidP="00072BD9">
      <w:pPr>
        <w:pStyle w:val="Nazevcasti"/>
        <w:rPr>
          <w:rFonts w:ascii="Book Antiqua" w:eastAsia="Times New Roman" w:hAnsi="Book Antiqua"/>
          <w:caps w:val="0"/>
          <w:lang w:eastAsia="en-US"/>
        </w:rPr>
      </w:pPr>
      <w:r w:rsidRPr="00566E08">
        <w:rPr>
          <w:rFonts w:ascii="Book Antiqua" w:eastAsia="Times New Roman" w:hAnsi="Book Antiqua"/>
          <w:caps w:val="0"/>
          <w:lang w:eastAsia="en-US"/>
        </w:rPr>
        <w:t xml:space="preserve">Část </w:t>
      </w:r>
      <w:r w:rsidR="00A1267A" w:rsidRPr="00566E08">
        <w:rPr>
          <w:rFonts w:ascii="Book Antiqua" w:eastAsia="Times New Roman" w:hAnsi="Book Antiqua"/>
          <w:caps w:val="0"/>
          <w:lang w:eastAsia="en-US"/>
        </w:rPr>
        <w:t>I – TECHNICKÉ</w:t>
      </w:r>
      <w:r w:rsidRPr="00566E08">
        <w:rPr>
          <w:rFonts w:ascii="Book Antiqua" w:eastAsia="Times New Roman" w:hAnsi="Book Antiqua"/>
          <w:caps w:val="0"/>
          <w:lang w:eastAsia="en-US"/>
        </w:rPr>
        <w:t xml:space="preserve"> KVALITATIVNÍ PODMÍNKY staveb Pozemních komunikací (TKP)</w:t>
      </w:r>
      <w:bookmarkEnd w:id="0"/>
    </w:p>
    <w:p w14:paraId="49CDA79C" w14:textId="1FDBAB75" w:rsidR="00072BD9" w:rsidRPr="007B4A19" w:rsidRDefault="00072BD9">
      <w:pPr>
        <w:rPr>
          <w:rFonts w:ascii="Book Antiqua" w:eastAsia="Times New Roman" w:hAnsi="Book Antiqua" w:cs="Times New Roman"/>
          <w:bCs/>
        </w:rPr>
      </w:pPr>
      <w:r w:rsidRPr="007B4A19">
        <w:rPr>
          <w:rFonts w:ascii="Book Antiqua" w:eastAsia="Times New Roman" w:hAnsi="Book Antiqua" w:cs="Times New Roman"/>
          <w:bCs/>
        </w:rPr>
        <w:t>Přehled jednotlivých kapitol TKP tvořících Technickou specifikaci</w:t>
      </w:r>
    </w:p>
    <w:tbl>
      <w:tblPr>
        <w:tblStyle w:val="Mkatabulky"/>
        <w:tblW w:w="8931" w:type="dxa"/>
        <w:tblInd w:w="-5" w:type="dxa"/>
        <w:tblLook w:val="04A0" w:firstRow="1" w:lastRow="0" w:firstColumn="1" w:lastColumn="0" w:noHBand="0" w:noVBand="1"/>
      </w:tblPr>
      <w:tblGrid>
        <w:gridCol w:w="4820"/>
        <w:gridCol w:w="2649"/>
        <w:gridCol w:w="1462"/>
      </w:tblGrid>
      <w:tr w:rsidR="004752CE" w:rsidRPr="007B4A19" w14:paraId="42522AD4" w14:textId="77777777" w:rsidTr="006C6CDF">
        <w:trPr>
          <w:trHeight w:val="618"/>
        </w:trPr>
        <w:tc>
          <w:tcPr>
            <w:tcW w:w="4820" w:type="dxa"/>
            <w:vAlign w:val="center"/>
          </w:tcPr>
          <w:p w14:paraId="3BA98C1D" w14:textId="77777777" w:rsidR="004752CE" w:rsidRPr="007B4A19" w:rsidRDefault="004752CE" w:rsidP="006C6CDF">
            <w:pPr>
              <w:spacing w:before="60" w:after="60"/>
              <w:jc w:val="center"/>
              <w:rPr>
                <w:rFonts w:ascii="Book Antiqua" w:hAnsi="Book Antiqua"/>
                <w:b/>
                <w:szCs w:val="24"/>
              </w:rPr>
            </w:pPr>
            <w:r w:rsidRPr="007B4A19">
              <w:rPr>
                <w:rFonts w:ascii="Book Antiqua" w:hAnsi="Book Antiqua"/>
                <w:b/>
                <w:szCs w:val="24"/>
              </w:rPr>
              <w:t>Název kapitoly</w:t>
            </w:r>
          </w:p>
        </w:tc>
        <w:tc>
          <w:tcPr>
            <w:tcW w:w="2649" w:type="dxa"/>
            <w:vAlign w:val="center"/>
          </w:tcPr>
          <w:p w14:paraId="7270FAE4" w14:textId="77777777" w:rsidR="004752CE" w:rsidRPr="007B4A19" w:rsidRDefault="004752CE" w:rsidP="006C6CDF">
            <w:pPr>
              <w:spacing w:before="60" w:after="60"/>
              <w:jc w:val="center"/>
              <w:rPr>
                <w:rFonts w:ascii="Book Antiqua" w:hAnsi="Book Antiqua"/>
                <w:b/>
                <w:szCs w:val="24"/>
              </w:rPr>
            </w:pPr>
            <w:r w:rsidRPr="007B4A19">
              <w:rPr>
                <w:rFonts w:ascii="Book Antiqua" w:hAnsi="Book Antiqua"/>
                <w:b/>
                <w:szCs w:val="24"/>
              </w:rPr>
              <w:t>Schváleno</w:t>
            </w:r>
          </w:p>
        </w:tc>
        <w:tc>
          <w:tcPr>
            <w:tcW w:w="1462" w:type="dxa"/>
            <w:vAlign w:val="center"/>
          </w:tcPr>
          <w:p w14:paraId="7355EC2B" w14:textId="77777777" w:rsidR="004752CE" w:rsidRPr="007B4A19" w:rsidRDefault="004752CE" w:rsidP="006C6CDF">
            <w:pPr>
              <w:spacing w:before="60" w:after="60"/>
              <w:jc w:val="center"/>
              <w:rPr>
                <w:rFonts w:ascii="Book Antiqua" w:hAnsi="Book Antiqua"/>
                <w:b/>
                <w:szCs w:val="24"/>
              </w:rPr>
            </w:pPr>
            <w:r w:rsidRPr="007B4A19">
              <w:rPr>
                <w:rFonts w:ascii="Book Antiqua" w:hAnsi="Book Antiqua"/>
                <w:b/>
                <w:szCs w:val="24"/>
              </w:rPr>
              <w:t>Účinnost</w:t>
            </w:r>
          </w:p>
        </w:tc>
      </w:tr>
      <w:tr w:rsidR="004752CE" w:rsidRPr="007B4A19" w14:paraId="0C27B876" w14:textId="77777777" w:rsidTr="006C6CDF">
        <w:tc>
          <w:tcPr>
            <w:tcW w:w="4820" w:type="dxa"/>
            <w:vAlign w:val="center"/>
          </w:tcPr>
          <w:p w14:paraId="6541CE92" w14:textId="77777777" w:rsidR="004752CE" w:rsidRPr="007B4A19" w:rsidRDefault="004752CE" w:rsidP="006C6CDF">
            <w:pPr>
              <w:spacing w:before="60" w:after="60"/>
              <w:rPr>
                <w:rFonts w:ascii="Book Antiqua" w:hAnsi="Book Antiqua"/>
                <w:szCs w:val="24"/>
              </w:rPr>
            </w:pPr>
            <w:r w:rsidRPr="007B4A19">
              <w:rPr>
                <w:rFonts w:ascii="Book Antiqua" w:hAnsi="Book Antiqua"/>
                <w:szCs w:val="24"/>
              </w:rPr>
              <w:t>Kapitola 1 - Všeobecně</w:t>
            </w:r>
          </w:p>
        </w:tc>
        <w:tc>
          <w:tcPr>
            <w:tcW w:w="2649" w:type="dxa"/>
            <w:vAlign w:val="center"/>
          </w:tcPr>
          <w:p w14:paraId="289EA2CA" w14:textId="77777777" w:rsidR="004752CE" w:rsidRPr="007B4A19" w:rsidRDefault="004752CE" w:rsidP="006C6CDF">
            <w:pPr>
              <w:spacing w:before="60" w:after="60"/>
              <w:rPr>
                <w:rFonts w:ascii="Book Antiqua" w:hAnsi="Book Antiqua"/>
                <w:szCs w:val="24"/>
              </w:rPr>
            </w:pPr>
            <w:r w:rsidRPr="007B4A19">
              <w:rPr>
                <w:rFonts w:ascii="Book Antiqua" w:hAnsi="Book Antiqua"/>
                <w:szCs w:val="24"/>
              </w:rPr>
              <w:t xml:space="preserve">č.j. 29/2017-120-TN/1 </w:t>
            </w:r>
          </w:p>
          <w:p w14:paraId="68D7DA80" w14:textId="77777777" w:rsidR="004752CE" w:rsidRPr="007B4A19" w:rsidRDefault="004752CE" w:rsidP="006C6CDF">
            <w:pPr>
              <w:spacing w:before="60" w:after="60"/>
              <w:rPr>
                <w:rFonts w:ascii="Book Antiqua" w:hAnsi="Book Antiqua"/>
                <w:szCs w:val="24"/>
              </w:rPr>
            </w:pPr>
            <w:r w:rsidRPr="007B4A19">
              <w:rPr>
                <w:rFonts w:ascii="Book Antiqua" w:hAnsi="Book Antiqua"/>
                <w:szCs w:val="24"/>
              </w:rPr>
              <w:t>ze dne 26. 1. 2017</w:t>
            </w:r>
          </w:p>
        </w:tc>
        <w:tc>
          <w:tcPr>
            <w:tcW w:w="1462" w:type="dxa"/>
            <w:vAlign w:val="center"/>
          </w:tcPr>
          <w:p w14:paraId="3BE64667" w14:textId="77777777" w:rsidR="004752CE" w:rsidRPr="007B4A19" w:rsidRDefault="004752CE" w:rsidP="006C6CDF">
            <w:pPr>
              <w:spacing w:before="60" w:after="60"/>
              <w:jc w:val="center"/>
              <w:rPr>
                <w:rFonts w:ascii="Book Antiqua" w:hAnsi="Book Antiqua"/>
                <w:szCs w:val="24"/>
              </w:rPr>
            </w:pPr>
            <w:r w:rsidRPr="007B4A19">
              <w:rPr>
                <w:rFonts w:ascii="Book Antiqua" w:hAnsi="Book Antiqua"/>
                <w:szCs w:val="24"/>
              </w:rPr>
              <w:t>1. 2. 2017</w:t>
            </w:r>
          </w:p>
        </w:tc>
      </w:tr>
      <w:tr w:rsidR="004752CE" w:rsidRPr="007B4A19" w14:paraId="0E3BAD81" w14:textId="77777777" w:rsidTr="006C6CDF">
        <w:tc>
          <w:tcPr>
            <w:tcW w:w="4820" w:type="dxa"/>
            <w:vAlign w:val="center"/>
          </w:tcPr>
          <w:p w14:paraId="6ADC2E94" w14:textId="77777777" w:rsidR="004752CE" w:rsidRPr="007B4A19" w:rsidRDefault="004752CE" w:rsidP="006C6CDF">
            <w:pPr>
              <w:spacing w:before="60" w:after="60"/>
              <w:rPr>
                <w:rFonts w:ascii="Book Antiqua" w:hAnsi="Book Antiqua"/>
                <w:szCs w:val="24"/>
              </w:rPr>
            </w:pPr>
            <w:r w:rsidRPr="007B4A19">
              <w:rPr>
                <w:rFonts w:ascii="Book Antiqua" w:hAnsi="Book Antiqua"/>
                <w:szCs w:val="24"/>
              </w:rPr>
              <w:t>Kapitola 2 - Příprava staveniště</w:t>
            </w:r>
          </w:p>
        </w:tc>
        <w:tc>
          <w:tcPr>
            <w:tcW w:w="2649" w:type="dxa"/>
            <w:vAlign w:val="center"/>
          </w:tcPr>
          <w:p w14:paraId="1BF3C7F3" w14:textId="77777777" w:rsidR="004752CE" w:rsidRPr="007B4A19" w:rsidRDefault="004752CE" w:rsidP="006C6CDF">
            <w:pPr>
              <w:spacing w:before="60" w:after="60"/>
              <w:rPr>
                <w:rFonts w:ascii="Book Antiqua" w:hAnsi="Book Antiqua"/>
                <w:szCs w:val="24"/>
              </w:rPr>
            </w:pPr>
            <w:r w:rsidRPr="007B4A19">
              <w:rPr>
                <w:rFonts w:ascii="Book Antiqua" w:hAnsi="Book Antiqua"/>
                <w:szCs w:val="24"/>
              </w:rPr>
              <w:t>č.j. 320/2016-120-TN/1</w:t>
            </w:r>
          </w:p>
          <w:p w14:paraId="724A6335" w14:textId="77777777" w:rsidR="004752CE" w:rsidRPr="007B4A19" w:rsidRDefault="004752CE" w:rsidP="006C6CDF">
            <w:pPr>
              <w:spacing w:before="60" w:after="60"/>
              <w:rPr>
                <w:rFonts w:ascii="Book Antiqua" w:hAnsi="Book Antiqua"/>
                <w:szCs w:val="24"/>
              </w:rPr>
            </w:pPr>
            <w:r w:rsidRPr="007B4A19">
              <w:rPr>
                <w:rFonts w:ascii="Book Antiqua" w:hAnsi="Book Antiqua"/>
                <w:szCs w:val="24"/>
              </w:rPr>
              <w:t>ze dne 20. 12. 2016</w:t>
            </w:r>
          </w:p>
        </w:tc>
        <w:tc>
          <w:tcPr>
            <w:tcW w:w="1462" w:type="dxa"/>
            <w:vAlign w:val="center"/>
          </w:tcPr>
          <w:p w14:paraId="2ACCCF5B" w14:textId="77777777" w:rsidR="004752CE" w:rsidRPr="007B4A19" w:rsidRDefault="004752CE" w:rsidP="006C6CDF">
            <w:pPr>
              <w:spacing w:before="60" w:after="60"/>
              <w:jc w:val="center"/>
              <w:rPr>
                <w:rFonts w:ascii="Book Antiqua" w:hAnsi="Book Antiqua"/>
                <w:szCs w:val="24"/>
              </w:rPr>
            </w:pPr>
            <w:r w:rsidRPr="007B4A19">
              <w:rPr>
                <w:rFonts w:ascii="Book Antiqua" w:hAnsi="Book Antiqua"/>
                <w:szCs w:val="24"/>
              </w:rPr>
              <w:t>1. 1. 2017</w:t>
            </w:r>
          </w:p>
        </w:tc>
      </w:tr>
      <w:tr w:rsidR="004752CE" w:rsidRPr="007B4A19" w14:paraId="4B90F9FF" w14:textId="77777777" w:rsidTr="006C6CDF">
        <w:tc>
          <w:tcPr>
            <w:tcW w:w="4820" w:type="dxa"/>
            <w:vAlign w:val="center"/>
          </w:tcPr>
          <w:p w14:paraId="28314D41" w14:textId="77777777" w:rsidR="004752CE" w:rsidRPr="007B4A19" w:rsidRDefault="004752CE" w:rsidP="006C6CDF">
            <w:pPr>
              <w:spacing w:before="60" w:after="60"/>
              <w:rPr>
                <w:rFonts w:ascii="Book Antiqua" w:hAnsi="Book Antiqua"/>
                <w:szCs w:val="24"/>
              </w:rPr>
            </w:pPr>
            <w:r w:rsidRPr="007B4A19">
              <w:rPr>
                <w:rFonts w:ascii="Book Antiqua" w:hAnsi="Book Antiqua"/>
                <w:szCs w:val="24"/>
              </w:rPr>
              <w:t>Kapitola 4 - Zemní práce</w:t>
            </w:r>
          </w:p>
        </w:tc>
        <w:tc>
          <w:tcPr>
            <w:tcW w:w="2649" w:type="dxa"/>
            <w:vAlign w:val="center"/>
          </w:tcPr>
          <w:p w14:paraId="066D891D" w14:textId="77777777" w:rsidR="004752CE" w:rsidRPr="007B4A19" w:rsidRDefault="004752CE" w:rsidP="006C6CDF">
            <w:pPr>
              <w:spacing w:before="60" w:after="60"/>
              <w:rPr>
                <w:rFonts w:ascii="Book Antiqua" w:hAnsi="Book Antiqua"/>
                <w:szCs w:val="24"/>
              </w:rPr>
            </w:pPr>
            <w:r w:rsidRPr="007B4A19">
              <w:rPr>
                <w:rFonts w:ascii="Book Antiqua" w:hAnsi="Book Antiqua"/>
                <w:szCs w:val="24"/>
              </w:rPr>
              <w:t>č.j. 143/2017-120-TN/1</w:t>
            </w:r>
          </w:p>
          <w:p w14:paraId="3331D07D" w14:textId="77777777" w:rsidR="004752CE" w:rsidRPr="007B4A19" w:rsidRDefault="004752CE" w:rsidP="006C6CDF">
            <w:pPr>
              <w:spacing w:before="60" w:after="60"/>
              <w:rPr>
                <w:rFonts w:ascii="Book Antiqua" w:hAnsi="Book Antiqua"/>
                <w:szCs w:val="24"/>
              </w:rPr>
            </w:pPr>
            <w:r w:rsidRPr="007B4A19">
              <w:rPr>
                <w:rFonts w:ascii="Book Antiqua" w:hAnsi="Book Antiqua"/>
                <w:szCs w:val="24"/>
              </w:rPr>
              <w:t>ze dne 4. 8. 2017</w:t>
            </w:r>
          </w:p>
        </w:tc>
        <w:tc>
          <w:tcPr>
            <w:tcW w:w="1462" w:type="dxa"/>
            <w:vAlign w:val="center"/>
          </w:tcPr>
          <w:p w14:paraId="191812AB" w14:textId="77777777" w:rsidR="004752CE" w:rsidRPr="007B4A19" w:rsidRDefault="004752CE" w:rsidP="006C6CDF">
            <w:pPr>
              <w:spacing w:before="60" w:after="60"/>
              <w:jc w:val="center"/>
              <w:rPr>
                <w:rFonts w:ascii="Book Antiqua" w:hAnsi="Book Antiqua"/>
                <w:szCs w:val="24"/>
              </w:rPr>
            </w:pPr>
            <w:r w:rsidRPr="007B4A19">
              <w:rPr>
                <w:rFonts w:ascii="Book Antiqua" w:hAnsi="Book Antiqua"/>
                <w:szCs w:val="24"/>
              </w:rPr>
              <w:t>7. 8. 2017</w:t>
            </w:r>
          </w:p>
        </w:tc>
      </w:tr>
    </w:tbl>
    <w:p w14:paraId="65C29613" w14:textId="77777777" w:rsidR="00072BD9" w:rsidRPr="007B4A19" w:rsidRDefault="00072BD9">
      <w:pPr>
        <w:rPr>
          <w:rFonts w:ascii="Book Antiqua" w:eastAsiaTheme="minorEastAsia" w:hAnsi="Book Antiqua" w:cs="Times New Roman"/>
          <w:sz w:val="20"/>
          <w:szCs w:val="24"/>
          <w:lang w:eastAsia="cs-CZ"/>
        </w:rPr>
      </w:pPr>
    </w:p>
    <w:p w14:paraId="494D671F" w14:textId="44CF74DA" w:rsidR="00072BD9" w:rsidRPr="007B4A19" w:rsidRDefault="00072BD9">
      <w:pPr>
        <w:rPr>
          <w:rFonts w:ascii="Book Antiqua" w:eastAsiaTheme="minorEastAsia" w:hAnsi="Book Antiqua" w:cs="Times New Roman"/>
          <w:szCs w:val="24"/>
          <w:lang w:eastAsia="cs-CZ"/>
        </w:rPr>
      </w:pPr>
      <w:r w:rsidRPr="007B4A19">
        <w:rPr>
          <w:rFonts w:ascii="Book Antiqua" w:eastAsiaTheme="minorEastAsia" w:hAnsi="Book Antiqua" w:cs="Times New Roman"/>
          <w:szCs w:val="24"/>
          <w:lang w:eastAsia="cs-CZ"/>
        </w:rPr>
        <w:t>Jednotlivé kapitoly TKP jsou volně dostupné v elektronické podobě na webových stránkách www.pjpk.cz.</w:t>
      </w:r>
    </w:p>
    <w:p w14:paraId="12B83468" w14:textId="77777777" w:rsidR="00072BD9" w:rsidRPr="007B4A19" w:rsidRDefault="00072BD9">
      <w:pPr>
        <w:rPr>
          <w:rFonts w:ascii="Book Antiqua" w:eastAsia="Times New Roman" w:hAnsi="Book Antiqua" w:cs="Times New Roman"/>
          <w:bCs/>
        </w:rPr>
      </w:pPr>
    </w:p>
    <w:p w14:paraId="169CDAA2" w14:textId="7192261F" w:rsidR="00B125A7" w:rsidRDefault="00B125A7">
      <w:pPr>
        <w:rPr>
          <w:rFonts w:ascii="Book Antiqua" w:eastAsia="Times New Roman" w:hAnsi="Book Antiqua" w:cs="Times New Roman"/>
          <w:bCs/>
        </w:rPr>
      </w:pPr>
      <w:r>
        <w:rPr>
          <w:rFonts w:ascii="Book Antiqua" w:eastAsia="Times New Roman" w:hAnsi="Book Antiqua" w:cs="Times New Roman"/>
          <w:bCs/>
        </w:rPr>
        <w:br w:type="page"/>
      </w:r>
    </w:p>
    <w:p w14:paraId="42ABD220" w14:textId="2D4BDBCC" w:rsidR="00646374" w:rsidRPr="007B4A19" w:rsidRDefault="00646374" w:rsidP="00646374">
      <w:pPr>
        <w:pStyle w:val="Nazevcasti"/>
        <w:rPr>
          <w:rFonts w:ascii="Book Antiqua" w:hAnsi="Book Antiqua"/>
        </w:rPr>
      </w:pPr>
      <w:bookmarkStart w:id="1" w:name="_Toc514834550"/>
      <w:r w:rsidRPr="007B4A19">
        <w:rPr>
          <w:rFonts w:ascii="Book Antiqua" w:hAnsi="Book Antiqua"/>
        </w:rPr>
        <w:lastRenderedPageBreak/>
        <w:t xml:space="preserve">Část </w:t>
      </w:r>
      <w:r w:rsidR="00A1267A" w:rsidRPr="007B4A19">
        <w:rPr>
          <w:rFonts w:ascii="Book Antiqua" w:hAnsi="Book Antiqua"/>
        </w:rPr>
        <w:t>II – ZVLÁŠTNÍ</w:t>
      </w:r>
      <w:r w:rsidRPr="007B4A19">
        <w:rPr>
          <w:rFonts w:ascii="Book Antiqua" w:hAnsi="Book Antiqua"/>
        </w:rPr>
        <w:t xml:space="preserve"> technické kvalitativní podmínky stavby (ztkp)</w:t>
      </w:r>
      <w:bookmarkEnd w:id="1"/>
    </w:p>
    <w:p w14:paraId="5E20F7AC" w14:textId="049ED599" w:rsidR="004120C8" w:rsidRPr="007B4A19" w:rsidRDefault="004E7890" w:rsidP="00DC30B3">
      <w:pPr>
        <w:jc w:val="both"/>
        <w:rPr>
          <w:rFonts w:ascii="Book Antiqua" w:eastAsia="Times New Roman" w:hAnsi="Book Antiqua" w:cs="Times New Roman"/>
          <w:bCs/>
        </w:rPr>
      </w:pPr>
      <w:r w:rsidRPr="007B4A19">
        <w:rPr>
          <w:rFonts w:ascii="Book Antiqua" w:eastAsia="Times New Roman" w:hAnsi="Book Antiqua" w:cs="Times New Roman"/>
          <w:bCs/>
        </w:rPr>
        <w:t>Objednatel</w:t>
      </w:r>
      <w:r w:rsidR="005B358B" w:rsidRPr="007B4A19">
        <w:rPr>
          <w:rFonts w:ascii="Book Antiqua" w:eastAsia="Times New Roman" w:hAnsi="Book Antiqua" w:cs="Times New Roman"/>
          <w:bCs/>
        </w:rPr>
        <w:t xml:space="preserve"> dává </w:t>
      </w:r>
      <w:r w:rsidRPr="007B4A19">
        <w:rPr>
          <w:rFonts w:ascii="Book Antiqua" w:eastAsia="Times New Roman" w:hAnsi="Book Antiqua" w:cs="Times New Roman"/>
          <w:bCs/>
        </w:rPr>
        <w:t>Zhotoviteli</w:t>
      </w:r>
      <w:r w:rsidR="005B358B" w:rsidRPr="007B4A19">
        <w:rPr>
          <w:rFonts w:ascii="Book Antiqua" w:eastAsia="Times New Roman" w:hAnsi="Book Antiqua" w:cs="Times New Roman"/>
          <w:bCs/>
        </w:rPr>
        <w:t xml:space="preserve"> na vědomí, že s</w:t>
      </w:r>
      <w:r w:rsidR="004120C8" w:rsidRPr="007B4A19">
        <w:rPr>
          <w:rFonts w:ascii="Book Antiqua" w:eastAsia="Times New Roman" w:hAnsi="Book Antiqua" w:cs="Times New Roman"/>
          <w:bCs/>
        </w:rPr>
        <w:t xml:space="preserve">oučástí </w:t>
      </w:r>
      <w:r w:rsidR="005B358B" w:rsidRPr="007B4A19">
        <w:rPr>
          <w:rFonts w:ascii="Book Antiqua" w:eastAsia="Times New Roman" w:hAnsi="Book Antiqua" w:cs="Times New Roman"/>
          <w:bCs/>
        </w:rPr>
        <w:t>T</w:t>
      </w:r>
      <w:r w:rsidR="004120C8" w:rsidRPr="007B4A19">
        <w:rPr>
          <w:rFonts w:ascii="Book Antiqua" w:eastAsia="Times New Roman" w:hAnsi="Book Antiqua" w:cs="Times New Roman"/>
          <w:bCs/>
        </w:rPr>
        <w:t>echnické specifikace</w:t>
      </w:r>
      <w:r w:rsidR="005B358B" w:rsidRPr="007B4A19">
        <w:rPr>
          <w:rFonts w:ascii="Book Antiqua" w:eastAsia="Times New Roman" w:hAnsi="Book Antiqua" w:cs="Times New Roman"/>
          <w:bCs/>
        </w:rPr>
        <w:t>,</w:t>
      </w:r>
      <w:r w:rsidR="004120C8" w:rsidRPr="007B4A19">
        <w:rPr>
          <w:rFonts w:ascii="Book Antiqua" w:eastAsia="Times New Roman" w:hAnsi="Book Antiqua" w:cs="Times New Roman"/>
          <w:bCs/>
        </w:rPr>
        <w:t xml:space="preserve"> jsou tyto následující </w:t>
      </w:r>
      <w:r w:rsidR="005B358B" w:rsidRPr="007B4A19">
        <w:rPr>
          <w:rFonts w:ascii="Book Antiqua" w:eastAsia="Times New Roman" w:hAnsi="Book Antiqua" w:cs="Times New Roman"/>
          <w:bCs/>
        </w:rPr>
        <w:t>dokumenty, které budou použity při realizaci Stavby</w:t>
      </w:r>
      <w:r w:rsidR="00DC30B3" w:rsidRPr="007B4A19">
        <w:rPr>
          <w:rFonts w:ascii="Book Antiqua" w:eastAsia="Times New Roman" w:hAnsi="Book Antiqua" w:cs="Times New Roman"/>
          <w:bCs/>
        </w:rPr>
        <w:t xml:space="preserve"> a které tvoří nedílnou součást smlouvy o dílo</w:t>
      </w:r>
      <w:r w:rsidR="00C71566" w:rsidRPr="007B4A19">
        <w:rPr>
          <w:rFonts w:ascii="Book Antiqua" w:eastAsia="Times New Roman" w:hAnsi="Book Antiqua" w:cs="Times New Roman"/>
          <w:bCs/>
        </w:rPr>
        <w:t>.</w:t>
      </w:r>
    </w:p>
    <w:p w14:paraId="74176513" w14:textId="3F4D57D7" w:rsidR="00485859" w:rsidRPr="007B4A19" w:rsidRDefault="005D4751">
      <w:pPr>
        <w:rPr>
          <w:rFonts w:ascii="Book Antiqua" w:eastAsia="Times New Roman" w:hAnsi="Book Antiqua" w:cs="Times New Roman"/>
          <w:bCs/>
        </w:rPr>
      </w:pPr>
      <w:r w:rsidRPr="007B4A19">
        <w:rPr>
          <w:rFonts w:ascii="Book Antiqua" w:eastAsia="Times New Roman" w:hAnsi="Book Antiqua" w:cs="Times New Roman"/>
          <w:bCs/>
        </w:rPr>
        <w:t>Příloha č. 1</w:t>
      </w:r>
      <w:r w:rsidR="004120C8" w:rsidRPr="007B4A19">
        <w:rPr>
          <w:rFonts w:ascii="Book Antiqua" w:eastAsia="Times New Roman" w:hAnsi="Book Antiqua" w:cs="Times New Roman"/>
          <w:bCs/>
        </w:rPr>
        <w:t xml:space="preserve"> – Výzva k předání staveniště</w:t>
      </w:r>
    </w:p>
    <w:p w14:paraId="152FA90D" w14:textId="153BE6F6" w:rsidR="004120C8" w:rsidRPr="007B4A19" w:rsidRDefault="004120C8">
      <w:pPr>
        <w:rPr>
          <w:rFonts w:ascii="Book Antiqua" w:eastAsia="Times New Roman" w:hAnsi="Book Antiqua" w:cs="Times New Roman"/>
          <w:bCs/>
        </w:rPr>
      </w:pPr>
      <w:r w:rsidRPr="007B4A19">
        <w:rPr>
          <w:rFonts w:ascii="Book Antiqua" w:eastAsia="Times New Roman" w:hAnsi="Book Antiqua" w:cs="Times New Roman"/>
          <w:bCs/>
        </w:rPr>
        <w:t>Příloha č. 2 – Zápis o předání a převzetí staveniště</w:t>
      </w:r>
    </w:p>
    <w:p w14:paraId="36181C5F" w14:textId="613C6439" w:rsidR="004120C8" w:rsidRPr="007B4A19" w:rsidRDefault="004120C8">
      <w:pPr>
        <w:rPr>
          <w:rFonts w:ascii="Book Antiqua" w:eastAsia="Times New Roman" w:hAnsi="Book Antiqua" w:cs="Times New Roman"/>
          <w:bCs/>
        </w:rPr>
      </w:pPr>
      <w:r w:rsidRPr="007B4A19">
        <w:rPr>
          <w:rFonts w:ascii="Book Antiqua" w:eastAsia="Times New Roman" w:hAnsi="Book Antiqua" w:cs="Times New Roman"/>
          <w:bCs/>
        </w:rPr>
        <w:t>Příloha č. 3 – Změnový list</w:t>
      </w:r>
    </w:p>
    <w:p w14:paraId="64DDBE8A" w14:textId="0B2A8284" w:rsidR="000B71FF" w:rsidRPr="007B4A19" w:rsidRDefault="000B71FF">
      <w:pPr>
        <w:rPr>
          <w:rFonts w:ascii="Book Antiqua" w:eastAsia="Times New Roman" w:hAnsi="Book Antiqua" w:cs="Times New Roman"/>
          <w:bCs/>
        </w:rPr>
      </w:pPr>
      <w:r w:rsidRPr="007B4A19">
        <w:rPr>
          <w:rFonts w:ascii="Book Antiqua" w:eastAsia="Times New Roman" w:hAnsi="Book Antiqua" w:cs="Times New Roman"/>
          <w:bCs/>
        </w:rPr>
        <w:t>Příloha č. 4 – Rozpis ocenění změn položek</w:t>
      </w:r>
    </w:p>
    <w:p w14:paraId="78DDBA72" w14:textId="162BE72A" w:rsidR="000B71FF" w:rsidRPr="007B4A19" w:rsidRDefault="000B71FF">
      <w:pPr>
        <w:rPr>
          <w:rFonts w:ascii="Book Antiqua" w:eastAsia="Times New Roman" w:hAnsi="Book Antiqua" w:cs="Times New Roman"/>
          <w:bCs/>
        </w:rPr>
      </w:pPr>
      <w:r w:rsidRPr="007B4A19">
        <w:rPr>
          <w:rFonts w:ascii="Book Antiqua" w:eastAsia="Times New Roman" w:hAnsi="Book Antiqua" w:cs="Times New Roman"/>
          <w:bCs/>
        </w:rPr>
        <w:t>Příloha č. 5 – Přehled změn stavby</w:t>
      </w:r>
    </w:p>
    <w:p w14:paraId="2D5004DC" w14:textId="2AF50399" w:rsidR="00C23459" w:rsidRPr="007B4A19" w:rsidRDefault="00C23459">
      <w:pPr>
        <w:rPr>
          <w:rFonts w:ascii="Book Antiqua" w:eastAsia="Times New Roman" w:hAnsi="Book Antiqua" w:cs="Times New Roman"/>
          <w:bCs/>
        </w:rPr>
      </w:pPr>
      <w:r w:rsidRPr="007B4A19">
        <w:rPr>
          <w:rFonts w:ascii="Book Antiqua" w:eastAsia="Times New Roman" w:hAnsi="Book Antiqua" w:cs="Times New Roman"/>
          <w:bCs/>
        </w:rPr>
        <w:t>Příloha č. 6 – Evidenční list pro vyhrazené změny</w:t>
      </w:r>
    </w:p>
    <w:p w14:paraId="1497DA87" w14:textId="72F441D1" w:rsidR="00C23459" w:rsidRPr="007B4A19" w:rsidRDefault="00C23459">
      <w:pPr>
        <w:rPr>
          <w:rFonts w:ascii="Book Antiqua" w:eastAsia="Times New Roman" w:hAnsi="Book Antiqua" w:cs="Times New Roman"/>
          <w:bCs/>
        </w:rPr>
      </w:pPr>
      <w:r w:rsidRPr="007B4A19">
        <w:rPr>
          <w:rFonts w:ascii="Book Antiqua" w:eastAsia="Times New Roman" w:hAnsi="Book Antiqua" w:cs="Times New Roman"/>
          <w:bCs/>
        </w:rPr>
        <w:t>Příloha č. 7 – Pozvánka na kontrolní den</w:t>
      </w:r>
    </w:p>
    <w:p w14:paraId="1F8DF2F4" w14:textId="115FA980" w:rsidR="00C23459" w:rsidRPr="007B4A19" w:rsidRDefault="00C23459">
      <w:pPr>
        <w:rPr>
          <w:rFonts w:ascii="Book Antiqua" w:eastAsia="Times New Roman" w:hAnsi="Book Antiqua" w:cs="Times New Roman"/>
          <w:bCs/>
        </w:rPr>
      </w:pPr>
      <w:r w:rsidRPr="007B4A19">
        <w:rPr>
          <w:rFonts w:ascii="Book Antiqua" w:eastAsia="Times New Roman" w:hAnsi="Book Antiqua" w:cs="Times New Roman"/>
          <w:bCs/>
        </w:rPr>
        <w:t>Příloha č. 8 – Zápis z kontrolního dne</w:t>
      </w:r>
    </w:p>
    <w:p w14:paraId="1DF65DD5" w14:textId="5A82A7E9" w:rsidR="00C23459" w:rsidRPr="007B4A19" w:rsidRDefault="00C23459">
      <w:pPr>
        <w:rPr>
          <w:rFonts w:ascii="Book Antiqua" w:eastAsia="Times New Roman" w:hAnsi="Book Antiqua" w:cs="Times New Roman"/>
          <w:bCs/>
        </w:rPr>
      </w:pPr>
      <w:r w:rsidRPr="007B4A19">
        <w:rPr>
          <w:rFonts w:ascii="Book Antiqua" w:eastAsia="Times New Roman" w:hAnsi="Book Antiqua" w:cs="Times New Roman"/>
          <w:bCs/>
        </w:rPr>
        <w:t>Příloha č. 9 – Prezenční listina</w:t>
      </w:r>
    </w:p>
    <w:p w14:paraId="61707F71" w14:textId="663637EB" w:rsidR="00C23459" w:rsidRPr="007B4A19" w:rsidRDefault="00C23459">
      <w:pPr>
        <w:rPr>
          <w:rFonts w:ascii="Book Antiqua" w:eastAsia="Times New Roman" w:hAnsi="Book Antiqua" w:cs="Times New Roman"/>
          <w:bCs/>
        </w:rPr>
      </w:pPr>
      <w:r w:rsidRPr="007B4A19">
        <w:rPr>
          <w:rFonts w:ascii="Book Antiqua" w:eastAsia="Times New Roman" w:hAnsi="Book Antiqua" w:cs="Times New Roman"/>
          <w:bCs/>
        </w:rPr>
        <w:t>Příloha č. 10 – Předávací protokol dokumentace skutečného provedení stavby</w:t>
      </w:r>
    </w:p>
    <w:p w14:paraId="490C0D1C" w14:textId="53DC621E" w:rsidR="00C23459" w:rsidRPr="007B4A19" w:rsidRDefault="00C23459">
      <w:pPr>
        <w:rPr>
          <w:rFonts w:ascii="Book Antiqua" w:eastAsia="Times New Roman" w:hAnsi="Book Antiqua" w:cs="Times New Roman"/>
          <w:bCs/>
        </w:rPr>
      </w:pPr>
      <w:r w:rsidRPr="007B4A19">
        <w:rPr>
          <w:rFonts w:ascii="Book Antiqua" w:eastAsia="Times New Roman" w:hAnsi="Book Antiqua" w:cs="Times New Roman"/>
          <w:bCs/>
        </w:rPr>
        <w:t>Příloha č. 11 – Předávací protokol stavby</w:t>
      </w:r>
    </w:p>
    <w:p w14:paraId="48ACF031" w14:textId="4205991F" w:rsidR="00C23459" w:rsidRPr="007B4A19" w:rsidRDefault="00C23459">
      <w:pPr>
        <w:rPr>
          <w:rFonts w:ascii="Book Antiqua" w:eastAsia="Times New Roman" w:hAnsi="Book Antiqua" w:cs="Times New Roman"/>
          <w:bCs/>
        </w:rPr>
      </w:pPr>
      <w:r w:rsidRPr="007B4A19">
        <w:rPr>
          <w:rFonts w:ascii="Book Antiqua" w:eastAsia="Times New Roman" w:hAnsi="Book Antiqua" w:cs="Times New Roman"/>
          <w:bCs/>
        </w:rPr>
        <w:t>Příloha č. 12 – Zápis z místního šetření</w:t>
      </w:r>
    </w:p>
    <w:p w14:paraId="79F868E5" w14:textId="0D76B052" w:rsidR="00C23459" w:rsidRDefault="00C23459">
      <w:pPr>
        <w:rPr>
          <w:rFonts w:ascii="Book Antiqua" w:eastAsia="Times New Roman" w:hAnsi="Book Antiqua" w:cs="Times New Roman"/>
          <w:bCs/>
        </w:rPr>
      </w:pPr>
      <w:r w:rsidRPr="007B4A19">
        <w:rPr>
          <w:rFonts w:ascii="Book Antiqua" w:eastAsia="Times New Roman" w:hAnsi="Book Antiqua" w:cs="Times New Roman"/>
          <w:bCs/>
        </w:rPr>
        <w:t>Příloha č. 13 – Předávací protokol</w:t>
      </w:r>
    </w:p>
    <w:p w14:paraId="43F28372" w14:textId="29830AC4" w:rsidR="00C41D7F" w:rsidRPr="007B4A19" w:rsidRDefault="00C41D7F">
      <w:pPr>
        <w:rPr>
          <w:rFonts w:ascii="Book Antiqua" w:eastAsia="Times New Roman" w:hAnsi="Book Antiqua" w:cs="Times New Roman"/>
          <w:bCs/>
        </w:rPr>
      </w:pPr>
      <w:r>
        <w:rPr>
          <w:rFonts w:ascii="Book Antiqua" w:eastAsia="Times New Roman" w:hAnsi="Book Antiqua" w:cs="Times New Roman"/>
          <w:bCs/>
        </w:rPr>
        <w:t>Příloha č. 1</w:t>
      </w:r>
      <w:r w:rsidR="000D7E42">
        <w:rPr>
          <w:rFonts w:ascii="Book Antiqua" w:eastAsia="Times New Roman" w:hAnsi="Book Antiqua" w:cs="Times New Roman"/>
          <w:bCs/>
        </w:rPr>
        <w:t>4</w:t>
      </w:r>
      <w:r>
        <w:rPr>
          <w:rFonts w:ascii="Book Antiqua" w:eastAsia="Times New Roman" w:hAnsi="Book Antiqua" w:cs="Times New Roman"/>
          <w:bCs/>
        </w:rPr>
        <w:t xml:space="preserve"> – Vzory bankovních záruk za splnění smlouvy a za odstranění vad</w:t>
      </w:r>
    </w:p>
    <w:p w14:paraId="5C2522DA" w14:textId="17B6DA51" w:rsidR="00DC30B3" w:rsidRPr="007B4A19" w:rsidRDefault="00DC30B3">
      <w:pPr>
        <w:rPr>
          <w:rFonts w:ascii="Book Antiqua" w:eastAsia="Times New Roman" w:hAnsi="Book Antiqua" w:cs="Times New Roman"/>
          <w:bCs/>
        </w:rPr>
      </w:pPr>
    </w:p>
    <w:p w14:paraId="687640D4" w14:textId="142526FB" w:rsidR="00DC30B3" w:rsidRPr="007B4A19" w:rsidRDefault="00DC30B3" w:rsidP="00DC30B3">
      <w:pPr>
        <w:pStyle w:val="Nazevcasti"/>
        <w:rPr>
          <w:rFonts w:ascii="Book Antiqua" w:hAnsi="Book Antiqua"/>
        </w:rPr>
      </w:pPr>
      <w:bookmarkStart w:id="2" w:name="_Toc514834576"/>
      <w:r w:rsidRPr="007B4A19">
        <w:rPr>
          <w:rFonts w:ascii="Book Antiqua" w:hAnsi="Book Antiqua"/>
        </w:rPr>
        <w:t>ČÁST I</w:t>
      </w:r>
      <w:r w:rsidR="004C3657">
        <w:rPr>
          <w:rFonts w:ascii="Book Antiqua" w:hAnsi="Book Antiqua"/>
        </w:rPr>
        <w:t>I</w:t>
      </w:r>
      <w:r w:rsidR="00393606">
        <w:rPr>
          <w:rFonts w:ascii="Book Antiqua" w:hAnsi="Book Antiqua"/>
        </w:rPr>
        <w:t>.</w:t>
      </w:r>
      <w:r w:rsidR="004C3657">
        <w:rPr>
          <w:rFonts w:ascii="Book Antiqua" w:hAnsi="Book Antiqua"/>
        </w:rPr>
        <w:t>1</w:t>
      </w:r>
      <w:r w:rsidRPr="007B4A19">
        <w:rPr>
          <w:rFonts w:ascii="Book Antiqua" w:hAnsi="Book Antiqua"/>
        </w:rPr>
        <w:t xml:space="preserve"> – DALŠÍ POŽADAVKY </w:t>
      </w:r>
      <w:bookmarkEnd w:id="2"/>
      <w:r w:rsidRPr="007B4A19">
        <w:rPr>
          <w:rFonts w:ascii="Book Antiqua" w:hAnsi="Book Antiqua"/>
        </w:rPr>
        <w:t>OBJEDNATELE</w:t>
      </w:r>
    </w:p>
    <w:p w14:paraId="4E25695A" w14:textId="77777777" w:rsidR="008E00BB" w:rsidRPr="00DC4478" w:rsidRDefault="00DC30B3" w:rsidP="00DC4478">
      <w:pPr>
        <w:rPr>
          <w:rFonts w:ascii="Book Antiqua" w:hAnsi="Book Antiqua"/>
        </w:rPr>
      </w:pPr>
      <w:r w:rsidRPr="00DC4478">
        <w:rPr>
          <w:rFonts w:ascii="Book Antiqua" w:hAnsi="Book Antiqua"/>
        </w:rPr>
        <w:t>Zhotoviteli se dává na vědomí, že součástí Díla je také</w:t>
      </w:r>
      <w:r w:rsidR="008E00BB" w:rsidRPr="00DC4478">
        <w:rPr>
          <w:rFonts w:ascii="Book Antiqua" w:hAnsi="Book Antiqua"/>
        </w:rPr>
        <w:t>:</w:t>
      </w:r>
    </w:p>
    <w:p w14:paraId="780C69DE" w14:textId="459996B7" w:rsidR="00DD5DEB" w:rsidRDefault="00DD5DEB" w:rsidP="00730C3F">
      <w:pPr>
        <w:pStyle w:val="Odstavecseseznamem"/>
        <w:numPr>
          <w:ilvl w:val="0"/>
          <w:numId w:val="16"/>
        </w:numPr>
        <w:spacing w:after="120" w:line="276" w:lineRule="auto"/>
        <w:jc w:val="both"/>
        <w:rPr>
          <w:rFonts w:ascii="Book Antiqua" w:hAnsi="Book Antiqua" w:cs="Arial"/>
        </w:rPr>
      </w:pPr>
      <w:r>
        <w:rPr>
          <w:rFonts w:ascii="Book Antiqua" w:hAnsi="Book Antiqua" w:cs="Arial"/>
        </w:rPr>
        <w:t>Provedení prací na Díle v lokalitě, kterou vytyčí zástupci Oprávněné organizace ve smyslu Pod-čl. 1.1.29 Smluvních podmínek. Toto vytyčení bude Zhotoviteli sděleno s dostatečným předstihem před Datem zahájení prací</w:t>
      </w:r>
      <w:r w:rsidR="00CC1F6D">
        <w:rPr>
          <w:rFonts w:ascii="Book Antiqua" w:hAnsi="Book Antiqua" w:cs="Arial"/>
        </w:rPr>
        <w:t>;</w:t>
      </w:r>
    </w:p>
    <w:p w14:paraId="5AFC8937" w14:textId="0080E989" w:rsidR="00DC30B3" w:rsidRDefault="00A91F2E" w:rsidP="00730C3F">
      <w:pPr>
        <w:pStyle w:val="Odstavecseseznamem"/>
        <w:numPr>
          <w:ilvl w:val="0"/>
          <w:numId w:val="16"/>
        </w:numPr>
        <w:spacing w:after="120" w:line="276" w:lineRule="auto"/>
        <w:jc w:val="both"/>
        <w:rPr>
          <w:rFonts w:ascii="Book Antiqua" w:hAnsi="Book Antiqua" w:cs="Arial"/>
        </w:rPr>
      </w:pPr>
      <w:r>
        <w:rPr>
          <w:rFonts w:ascii="Book Antiqua" w:hAnsi="Book Antiqua" w:cs="Arial"/>
        </w:rPr>
        <w:t>P</w:t>
      </w:r>
      <w:r w:rsidR="005E6853" w:rsidRPr="00CA4A5E">
        <w:rPr>
          <w:rFonts w:ascii="Book Antiqua" w:hAnsi="Book Antiqua" w:cs="Arial"/>
        </w:rPr>
        <w:t xml:space="preserve">rokazatelné </w:t>
      </w:r>
      <w:r w:rsidR="00DC30B3" w:rsidRPr="00CA4A5E">
        <w:rPr>
          <w:rFonts w:ascii="Book Antiqua" w:hAnsi="Book Antiqua" w:cs="Arial"/>
        </w:rPr>
        <w:t xml:space="preserve">zajištění informování přímo dotčených fyzických a právnických osob o době trvání, místě a rozsahu prací prováděných na opravovaném úseku </w:t>
      </w:r>
      <w:r w:rsidR="00C96E59" w:rsidRPr="00CA4A5E">
        <w:rPr>
          <w:rFonts w:ascii="Book Antiqua" w:hAnsi="Book Antiqua" w:cs="Arial"/>
        </w:rPr>
        <w:t>Stavby</w:t>
      </w:r>
      <w:r w:rsidR="00DC30B3" w:rsidRPr="00CA4A5E">
        <w:rPr>
          <w:rFonts w:ascii="Book Antiqua" w:hAnsi="Book Antiqua" w:cs="Arial"/>
        </w:rPr>
        <w:t xml:space="preserve">, a to nejpozději </w:t>
      </w:r>
      <w:r w:rsidR="005E6853" w:rsidRPr="00CA4A5E">
        <w:rPr>
          <w:rFonts w:ascii="Book Antiqua" w:hAnsi="Book Antiqua" w:cs="Arial"/>
        </w:rPr>
        <w:t>10</w:t>
      </w:r>
      <w:r w:rsidR="00DC30B3" w:rsidRPr="00CA4A5E">
        <w:rPr>
          <w:rFonts w:ascii="Book Antiqua" w:hAnsi="Book Antiqua" w:cs="Arial"/>
        </w:rPr>
        <w:t xml:space="preserve"> pracovních dní před zahájením prací</w:t>
      </w:r>
      <w:r w:rsidR="00CA4A5E" w:rsidRPr="00CA4A5E">
        <w:rPr>
          <w:rFonts w:ascii="Book Antiqua" w:hAnsi="Book Antiqua" w:cs="Arial"/>
        </w:rPr>
        <w:t>;</w:t>
      </w:r>
    </w:p>
    <w:p w14:paraId="1997D66B" w14:textId="6C8BD827" w:rsidR="008121BF" w:rsidRPr="00CA4A5E" w:rsidRDefault="008121BF" w:rsidP="00730C3F">
      <w:pPr>
        <w:pStyle w:val="Odstavecseseznamem"/>
        <w:numPr>
          <w:ilvl w:val="0"/>
          <w:numId w:val="16"/>
        </w:numPr>
        <w:spacing w:after="120" w:line="276" w:lineRule="auto"/>
        <w:jc w:val="both"/>
        <w:rPr>
          <w:rFonts w:ascii="Book Antiqua" w:hAnsi="Book Antiqua" w:cs="Arial"/>
        </w:rPr>
      </w:pPr>
      <w:r w:rsidRPr="008121BF">
        <w:rPr>
          <w:rFonts w:ascii="Book Antiqua" w:hAnsi="Book Antiqua" w:cs="Arial"/>
        </w:rPr>
        <w:t>V souladu se Smlouvou o poskytnutí finančních prostředků z rozpočtu Státního fondu dopravní infrastruktury na rok 2020 přináleží Státnímu fondu dopravní infrastruktury (dále jen „</w:t>
      </w:r>
      <w:r w:rsidRPr="00ED0057">
        <w:rPr>
          <w:rFonts w:ascii="Book Antiqua" w:hAnsi="Book Antiqua" w:cs="Arial"/>
          <w:b/>
          <w:bCs/>
        </w:rPr>
        <w:t>SFDI</w:t>
      </w:r>
      <w:r w:rsidRPr="008121BF">
        <w:rPr>
          <w:rFonts w:ascii="Book Antiqua" w:hAnsi="Book Antiqua" w:cs="Arial"/>
        </w:rPr>
        <w:t>“) právo na zajišťování veškerých podkladů a údajů nutných pro kontrolu hospodárného, účelného a efektivního nakládání s účelově poskytnutými finančními prostředky u Zhotovitele. Zhotovitel je povinen vyhovět požadavkům SFDI na předložení dokladů a umožnit zástupcům SFDI kontrolu na Staveništi</w:t>
      </w:r>
      <w:r w:rsidR="00A91F2E">
        <w:rPr>
          <w:rFonts w:ascii="Book Antiqua" w:hAnsi="Book Antiqua" w:cs="Arial"/>
        </w:rPr>
        <w:t>;</w:t>
      </w:r>
    </w:p>
    <w:p w14:paraId="30693F63" w14:textId="7AC98C5E" w:rsidR="00DC30B3" w:rsidRPr="00CA4A5E" w:rsidRDefault="00D237F9" w:rsidP="00730C3F">
      <w:pPr>
        <w:pStyle w:val="Odstavecseseznamem"/>
        <w:numPr>
          <w:ilvl w:val="0"/>
          <w:numId w:val="16"/>
        </w:numPr>
        <w:overflowPunct w:val="0"/>
        <w:autoSpaceDE w:val="0"/>
        <w:autoSpaceDN w:val="0"/>
        <w:adjustRightInd w:val="0"/>
        <w:spacing w:after="120" w:line="276" w:lineRule="auto"/>
        <w:jc w:val="both"/>
        <w:textAlignment w:val="baseline"/>
        <w:rPr>
          <w:rFonts w:ascii="Book Antiqua" w:hAnsi="Book Antiqua" w:cs="Arial"/>
          <w:iCs/>
        </w:rPr>
      </w:pPr>
      <w:r w:rsidRPr="00CA4A5E">
        <w:rPr>
          <w:rFonts w:ascii="Book Antiqua" w:hAnsi="Book Antiqua" w:cs="Arial"/>
          <w:iCs/>
        </w:rPr>
        <w:lastRenderedPageBreak/>
        <w:t>S</w:t>
      </w:r>
      <w:r w:rsidR="00DC30B3" w:rsidRPr="00CA4A5E">
        <w:rPr>
          <w:rFonts w:ascii="Book Antiqua" w:hAnsi="Book Antiqua" w:cs="Arial"/>
          <w:iCs/>
        </w:rPr>
        <w:t>tavba bude ve smyslu Pod-čl. 4.1</w:t>
      </w:r>
      <w:r w:rsidR="00CB1C7C">
        <w:rPr>
          <w:rFonts w:ascii="Book Antiqua" w:hAnsi="Book Antiqua" w:cs="Arial"/>
          <w:iCs/>
        </w:rPr>
        <w:t>.3</w:t>
      </w:r>
      <w:r w:rsidR="00DC30B3" w:rsidRPr="00CA4A5E">
        <w:rPr>
          <w:rFonts w:ascii="Book Antiqua" w:hAnsi="Book Antiqua" w:cs="Arial"/>
          <w:iCs/>
        </w:rPr>
        <w:t xml:space="preserve"> </w:t>
      </w:r>
      <w:r w:rsidR="002412D4" w:rsidRPr="00CA4A5E">
        <w:rPr>
          <w:rFonts w:ascii="Book Antiqua" w:hAnsi="Book Antiqua" w:cs="Arial"/>
          <w:iCs/>
        </w:rPr>
        <w:t>Smluvních podmínek</w:t>
      </w:r>
      <w:r w:rsidR="00DC30B3" w:rsidRPr="00CA4A5E">
        <w:rPr>
          <w:rFonts w:ascii="Book Antiqua" w:hAnsi="Book Antiqua" w:cs="Arial"/>
          <w:iCs/>
        </w:rPr>
        <w:t xml:space="preserve"> označena dvěma informačními plechovými/plastovými tabulemi na podstavcích o rozměrech 2</w:t>
      </w:r>
      <w:r w:rsidR="002412D4" w:rsidRPr="00CA4A5E">
        <w:rPr>
          <w:rFonts w:ascii="Book Antiqua" w:hAnsi="Book Antiqua" w:cs="Arial"/>
          <w:iCs/>
        </w:rPr>
        <w:t>×</w:t>
      </w:r>
      <w:r w:rsidR="00DC30B3" w:rsidRPr="00CA4A5E">
        <w:rPr>
          <w:rFonts w:ascii="Book Antiqua" w:hAnsi="Book Antiqua" w:cs="Arial"/>
          <w:iCs/>
        </w:rPr>
        <w:t xml:space="preserve">1 m s textem </w:t>
      </w:r>
      <w:r w:rsidR="00DC30B3" w:rsidRPr="00CA4A5E">
        <w:rPr>
          <w:rFonts w:ascii="Book Antiqua" w:hAnsi="Book Antiqua" w:cs="Arial"/>
          <w:b/>
          <w:iCs/>
        </w:rPr>
        <w:t>„</w:t>
      </w:r>
      <w:r w:rsidR="00FE2922">
        <w:rPr>
          <w:rFonts w:ascii="Book Antiqua" w:hAnsi="Book Antiqua" w:cs="Arial"/>
          <w:b/>
        </w:rPr>
        <w:t>Propojení silnic D35 a I-35 Rokytno - Býšť</w:t>
      </w:r>
      <w:r w:rsidR="00DC30B3" w:rsidRPr="00CA4A5E">
        <w:rPr>
          <w:rFonts w:ascii="Book Antiqua" w:hAnsi="Book Antiqua" w:cs="Arial"/>
          <w:b/>
          <w:iCs/>
        </w:rPr>
        <w:t>“</w:t>
      </w:r>
      <w:r w:rsidR="00DC30B3" w:rsidRPr="00CA4A5E">
        <w:rPr>
          <w:rFonts w:ascii="Book Antiqua" w:hAnsi="Book Antiqua" w:cs="Arial"/>
          <w:iCs/>
        </w:rPr>
        <w:t xml:space="preserve">, tabule bude dále obsahovat označení Objednatele včetně jeho loga, označení Zhotovitele včetně jeho loga, </w:t>
      </w:r>
      <w:r w:rsidR="002412D4" w:rsidRPr="00CA4A5E">
        <w:rPr>
          <w:rFonts w:ascii="Book Antiqua" w:hAnsi="Book Antiqua" w:cs="Arial"/>
          <w:iCs/>
        </w:rPr>
        <w:t xml:space="preserve">označení </w:t>
      </w:r>
      <w:r w:rsidR="00C911F3">
        <w:rPr>
          <w:rFonts w:ascii="Book Antiqua" w:hAnsi="Book Antiqua" w:cs="Arial"/>
          <w:iCs/>
        </w:rPr>
        <w:t>Pověřené osoby Objednatele</w:t>
      </w:r>
      <w:r w:rsidR="002412D4" w:rsidRPr="00CA4A5E">
        <w:rPr>
          <w:rFonts w:ascii="Book Antiqua" w:hAnsi="Book Antiqua" w:cs="Arial"/>
          <w:iCs/>
        </w:rPr>
        <w:t xml:space="preserve"> včetně jeho loga,</w:t>
      </w:r>
      <w:r w:rsidR="008121BF">
        <w:rPr>
          <w:rFonts w:ascii="Book Antiqua" w:hAnsi="Book Antiqua" w:cs="Arial"/>
          <w:iCs/>
        </w:rPr>
        <w:t xml:space="preserve"> označení SFDI včetně jeho loga,</w:t>
      </w:r>
      <w:r w:rsidR="002412D4" w:rsidRPr="00CA4A5E">
        <w:rPr>
          <w:rFonts w:ascii="Book Antiqua" w:hAnsi="Book Antiqua" w:cs="Arial"/>
          <w:iCs/>
        </w:rPr>
        <w:t xml:space="preserve"> </w:t>
      </w:r>
      <w:r w:rsidR="00DC30B3" w:rsidRPr="00CA4A5E">
        <w:rPr>
          <w:rFonts w:ascii="Book Antiqua" w:hAnsi="Book Antiqua" w:cs="Arial"/>
          <w:iCs/>
        </w:rPr>
        <w:t>označení stavbyvedoucího včetně telefonního kontaktu, označení projektanta včetně telefonního kontaktu a případného loga, termín realizace, označení koordinátora bezpečnosti a ochrany zdraví při práci na staveništi (dále jen „</w:t>
      </w:r>
      <w:r w:rsidR="00DC30B3" w:rsidRPr="00CA4A5E">
        <w:rPr>
          <w:rFonts w:ascii="Book Antiqua" w:hAnsi="Book Antiqua" w:cs="Arial"/>
          <w:b/>
          <w:iCs/>
        </w:rPr>
        <w:t>Koordinátor</w:t>
      </w:r>
      <w:r w:rsidR="00DC30B3" w:rsidRPr="00CA4A5E">
        <w:rPr>
          <w:rFonts w:ascii="Book Antiqua" w:hAnsi="Book Antiqua" w:cs="Arial"/>
          <w:iCs/>
        </w:rPr>
        <w:t xml:space="preserve"> </w:t>
      </w:r>
      <w:r w:rsidR="00DC30B3" w:rsidRPr="00CA4A5E">
        <w:rPr>
          <w:rFonts w:ascii="Book Antiqua" w:hAnsi="Book Antiqua" w:cs="Arial"/>
          <w:b/>
          <w:iCs/>
        </w:rPr>
        <w:t>BOZP</w:t>
      </w:r>
      <w:r w:rsidR="00DC30B3" w:rsidRPr="00CA4A5E">
        <w:rPr>
          <w:rFonts w:ascii="Book Antiqua" w:hAnsi="Book Antiqua" w:cs="Arial"/>
          <w:iCs/>
        </w:rPr>
        <w:t>“) včetně telefonního kontaktu, označení technického dozoru investora včetně telefonního kontaktu;</w:t>
      </w:r>
    </w:p>
    <w:p w14:paraId="7589F9EE" w14:textId="4BF03087" w:rsidR="00DC30B3" w:rsidRPr="007B4A19" w:rsidRDefault="00A91F2E" w:rsidP="00730C3F">
      <w:pPr>
        <w:pStyle w:val="Zkladntext"/>
        <w:numPr>
          <w:ilvl w:val="0"/>
          <w:numId w:val="16"/>
        </w:numPr>
        <w:tabs>
          <w:tab w:val="left" w:pos="709"/>
        </w:tabs>
        <w:suppressAutoHyphens w:val="0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P</w:t>
      </w:r>
      <w:r w:rsidR="00DC30B3" w:rsidRPr="007B4A19">
        <w:rPr>
          <w:rFonts w:ascii="Book Antiqua" w:hAnsi="Book Antiqua" w:cs="Arial"/>
          <w:sz w:val="22"/>
          <w:szCs w:val="22"/>
        </w:rPr>
        <w:t>ředání odpadu k odstranění na řízenou skládku nebo jiný způsob jeho odstranění nebo využití v souladu se zákonem č. 185/2001 Sb., o odpadech a o změně některých dalších zákonů, ve znění pozdějších předpisů (dále jen „</w:t>
      </w:r>
      <w:r w:rsidR="00397B2B">
        <w:rPr>
          <w:rFonts w:ascii="Book Antiqua" w:hAnsi="Book Antiqua" w:cs="Arial"/>
          <w:b/>
          <w:sz w:val="22"/>
          <w:szCs w:val="22"/>
        </w:rPr>
        <w:t>z</w:t>
      </w:r>
      <w:r w:rsidR="00DC30B3" w:rsidRPr="007B4A19">
        <w:rPr>
          <w:rFonts w:ascii="Book Antiqua" w:hAnsi="Book Antiqua" w:cs="Arial"/>
          <w:b/>
          <w:sz w:val="22"/>
          <w:szCs w:val="22"/>
        </w:rPr>
        <w:t>ákon o odpadech</w:t>
      </w:r>
      <w:r w:rsidR="00DC30B3" w:rsidRPr="007B4A19">
        <w:rPr>
          <w:rFonts w:ascii="Book Antiqua" w:hAnsi="Book Antiqua" w:cs="Arial"/>
          <w:sz w:val="22"/>
          <w:szCs w:val="22"/>
        </w:rPr>
        <w:t xml:space="preserve">“); o způsobu nakládání s odpadem bude Objednateli předložen písemný doklad vystavený příslušnou oprávněnou osobou podle </w:t>
      </w:r>
      <w:r w:rsidR="00397B2B">
        <w:rPr>
          <w:rFonts w:ascii="Book Antiqua" w:hAnsi="Book Antiqua" w:cs="Arial"/>
          <w:sz w:val="22"/>
          <w:szCs w:val="22"/>
        </w:rPr>
        <w:t>z</w:t>
      </w:r>
      <w:r w:rsidR="00DC30B3" w:rsidRPr="007B4A19">
        <w:rPr>
          <w:rFonts w:ascii="Book Antiqua" w:hAnsi="Book Antiqua" w:cs="Arial"/>
          <w:sz w:val="22"/>
          <w:szCs w:val="22"/>
        </w:rPr>
        <w:t>ákona o odpadech;</w:t>
      </w:r>
    </w:p>
    <w:p w14:paraId="4946262F" w14:textId="588280AF" w:rsidR="00DC30B3" w:rsidRPr="007B4A19" w:rsidRDefault="00A91F2E" w:rsidP="00730C3F">
      <w:pPr>
        <w:pStyle w:val="Zkladntext"/>
        <w:numPr>
          <w:ilvl w:val="0"/>
          <w:numId w:val="16"/>
        </w:numPr>
        <w:tabs>
          <w:tab w:val="left" w:pos="709"/>
        </w:tabs>
        <w:suppressAutoHyphens w:val="0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Z</w:t>
      </w:r>
      <w:r w:rsidR="00DC30B3" w:rsidRPr="007B4A19">
        <w:rPr>
          <w:rFonts w:ascii="Book Antiqua" w:hAnsi="Book Antiqua" w:cs="Arial"/>
          <w:sz w:val="22"/>
          <w:szCs w:val="22"/>
        </w:rPr>
        <w:t>řízení deponie materiálů tak, aby nevznikly žádné škody na sousedních pozemcích;</w:t>
      </w:r>
    </w:p>
    <w:p w14:paraId="0F0DA795" w14:textId="218FAB05" w:rsidR="00DC30B3" w:rsidRPr="007B4A19" w:rsidRDefault="00A91F2E" w:rsidP="00730C3F">
      <w:pPr>
        <w:pStyle w:val="Zkladntext"/>
        <w:numPr>
          <w:ilvl w:val="0"/>
          <w:numId w:val="16"/>
        </w:numPr>
        <w:tabs>
          <w:tab w:val="left" w:pos="709"/>
        </w:tabs>
        <w:suppressAutoHyphens w:val="0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Z</w:t>
      </w:r>
      <w:r w:rsidR="00DC30B3" w:rsidRPr="007B4A19">
        <w:rPr>
          <w:rFonts w:ascii="Book Antiqua" w:hAnsi="Book Antiqua" w:cs="Arial"/>
          <w:sz w:val="22"/>
          <w:szCs w:val="22"/>
        </w:rPr>
        <w:t>ajištění bezpečných přechodů a přejezdů přes výkopy pro zabezpečení přístupu a příjezdu k objektům;</w:t>
      </w:r>
    </w:p>
    <w:p w14:paraId="19E2BF58" w14:textId="1FA09272" w:rsidR="00DC30B3" w:rsidRPr="00855204" w:rsidRDefault="00A91F2E" w:rsidP="00730C3F">
      <w:pPr>
        <w:pStyle w:val="Zkladntext"/>
        <w:numPr>
          <w:ilvl w:val="0"/>
          <w:numId w:val="16"/>
        </w:numPr>
        <w:tabs>
          <w:tab w:val="left" w:pos="709"/>
        </w:tabs>
        <w:suppressAutoHyphens w:val="0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U</w:t>
      </w:r>
      <w:r w:rsidR="00DC30B3" w:rsidRPr="00855204">
        <w:rPr>
          <w:rFonts w:ascii="Book Antiqua" w:hAnsi="Book Antiqua" w:cs="Arial"/>
          <w:sz w:val="22"/>
          <w:szCs w:val="22"/>
        </w:rPr>
        <w:t>držování Stavbou dotčených povrchů, zpevněných ploch, veřejných komunikací a výjezdů ze </w:t>
      </w:r>
      <w:r w:rsidR="00855204" w:rsidRPr="00855204">
        <w:rPr>
          <w:rFonts w:ascii="Book Antiqua" w:hAnsi="Book Antiqua" w:cs="Arial"/>
          <w:sz w:val="22"/>
          <w:szCs w:val="22"/>
        </w:rPr>
        <w:t>S</w:t>
      </w:r>
      <w:r w:rsidR="00DC30B3" w:rsidRPr="00855204">
        <w:rPr>
          <w:rFonts w:ascii="Book Antiqua" w:hAnsi="Book Antiqua" w:cs="Arial"/>
          <w:sz w:val="22"/>
          <w:szCs w:val="22"/>
        </w:rPr>
        <w:t>taveniště v čistotě a jejich uvedení do původního stavu</w:t>
      </w:r>
      <w:r w:rsidR="0001391E" w:rsidRPr="00855204">
        <w:rPr>
          <w:rFonts w:ascii="Book Antiqua" w:hAnsi="Book Antiqua" w:cs="Arial"/>
          <w:sz w:val="22"/>
          <w:szCs w:val="22"/>
        </w:rPr>
        <w:t xml:space="preserve"> v souladu s Pod-čl. 4.1</w:t>
      </w:r>
      <w:r w:rsidR="00C911F3">
        <w:rPr>
          <w:rFonts w:ascii="Book Antiqua" w:hAnsi="Book Antiqua" w:cs="Arial"/>
          <w:sz w:val="22"/>
          <w:szCs w:val="22"/>
        </w:rPr>
        <w:t>.</w:t>
      </w:r>
      <w:r w:rsidR="0001391E" w:rsidRPr="00855204">
        <w:rPr>
          <w:rFonts w:ascii="Book Antiqua" w:hAnsi="Book Antiqua" w:cs="Arial"/>
          <w:sz w:val="22"/>
          <w:szCs w:val="22"/>
        </w:rPr>
        <w:t>5 Smluvních podmínek</w:t>
      </w:r>
      <w:r w:rsidR="00FB501D" w:rsidRPr="00855204">
        <w:rPr>
          <w:rFonts w:ascii="Book Antiqua" w:hAnsi="Book Antiqua" w:cs="Arial"/>
          <w:sz w:val="22"/>
          <w:szCs w:val="22"/>
        </w:rPr>
        <w:t>;</w:t>
      </w:r>
    </w:p>
    <w:p w14:paraId="1D92131A" w14:textId="6E1ED8A8" w:rsidR="00DC30B3" w:rsidRPr="007B4A19" w:rsidRDefault="00A91F2E" w:rsidP="00730C3F">
      <w:pPr>
        <w:pStyle w:val="Zkladntext"/>
        <w:numPr>
          <w:ilvl w:val="0"/>
          <w:numId w:val="16"/>
        </w:numPr>
        <w:tabs>
          <w:tab w:val="left" w:pos="709"/>
        </w:tabs>
        <w:suppressAutoHyphens w:val="0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Z</w:t>
      </w:r>
      <w:r w:rsidR="00DC30B3" w:rsidRPr="007B4A19">
        <w:rPr>
          <w:rFonts w:ascii="Book Antiqua" w:hAnsi="Book Antiqua" w:cs="Arial"/>
          <w:sz w:val="22"/>
          <w:szCs w:val="22"/>
        </w:rPr>
        <w:t>ajištění zpracování všech případných dalších dokumentací potřebných pro provedení Díla;</w:t>
      </w:r>
    </w:p>
    <w:p w14:paraId="07F380F9" w14:textId="306A9C8B" w:rsidR="00DC30B3" w:rsidRDefault="00A91F2E" w:rsidP="00730C3F">
      <w:pPr>
        <w:pStyle w:val="Zkladntext"/>
        <w:numPr>
          <w:ilvl w:val="0"/>
          <w:numId w:val="16"/>
        </w:numPr>
        <w:tabs>
          <w:tab w:val="left" w:pos="709"/>
        </w:tabs>
        <w:suppressAutoHyphens w:val="0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H</w:t>
      </w:r>
      <w:r w:rsidR="00DC30B3" w:rsidRPr="007B4A19">
        <w:rPr>
          <w:rFonts w:ascii="Book Antiqua" w:hAnsi="Book Antiqua" w:cs="Arial"/>
          <w:sz w:val="22"/>
          <w:szCs w:val="22"/>
        </w:rPr>
        <w:t>lášení archeologických nálezů v souladu se zákonem č. 20/1987 Sb., o státní památkové péči, ve znění pozdějších předpisů</w:t>
      </w:r>
      <w:r w:rsidR="00AD5FE5">
        <w:rPr>
          <w:rFonts w:ascii="Book Antiqua" w:hAnsi="Book Antiqua" w:cs="Arial"/>
          <w:sz w:val="22"/>
          <w:szCs w:val="22"/>
        </w:rPr>
        <w:t xml:space="preserve">, včetně </w:t>
      </w:r>
      <w:r w:rsidR="00670222">
        <w:rPr>
          <w:rFonts w:ascii="Book Antiqua" w:hAnsi="Book Antiqua" w:cs="Arial"/>
          <w:sz w:val="22"/>
          <w:szCs w:val="22"/>
        </w:rPr>
        <w:t>dalších povinností</w:t>
      </w:r>
      <w:r w:rsidR="002720F9">
        <w:rPr>
          <w:rFonts w:ascii="Book Antiqua" w:hAnsi="Book Antiqua" w:cs="Arial"/>
          <w:sz w:val="22"/>
          <w:szCs w:val="22"/>
        </w:rPr>
        <w:t xml:space="preserve"> v souladu s Pod-čl. 4.</w:t>
      </w:r>
      <w:r w:rsidR="00656C7F">
        <w:rPr>
          <w:rFonts w:ascii="Book Antiqua" w:hAnsi="Book Antiqua" w:cs="Arial"/>
          <w:sz w:val="22"/>
          <w:szCs w:val="22"/>
        </w:rPr>
        <w:t>10</w:t>
      </w:r>
      <w:r w:rsidR="002720F9">
        <w:rPr>
          <w:rFonts w:ascii="Book Antiqua" w:hAnsi="Book Antiqua" w:cs="Arial"/>
          <w:sz w:val="22"/>
          <w:szCs w:val="22"/>
        </w:rPr>
        <w:t xml:space="preserve"> Smluvních podmínek</w:t>
      </w:r>
      <w:r w:rsidR="00DC30B3" w:rsidRPr="007B4A19">
        <w:rPr>
          <w:rFonts w:ascii="Book Antiqua" w:hAnsi="Book Antiqua" w:cs="Arial"/>
          <w:sz w:val="22"/>
          <w:szCs w:val="22"/>
        </w:rPr>
        <w:t>.</w:t>
      </w:r>
    </w:p>
    <w:p w14:paraId="6105E8B4" w14:textId="77777777" w:rsidR="00265600" w:rsidRDefault="00265600" w:rsidP="008121BF">
      <w:pPr>
        <w:pStyle w:val="Zkladntext"/>
        <w:tabs>
          <w:tab w:val="left" w:pos="709"/>
        </w:tabs>
        <w:suppressAutoHyphens w:val="0"/>
        <w:ind w:left="360" w:firstLine="0"/>
        <w:rPr>
          <w:rFonts w:ascii="Book Antiqua" w:hAnsi="Book Antiqua" w:cs="Arial"/>
          <w:sz w:val="22"/>
          <w:szCs w:val="22"/>
        </w:rPr>
      </w:pPr>
    </w:p>
    <w:p w14:paraId="0DBD880B" w14:textId="0B2FFA76" w:rsidR="00E91CFA" w:rsidRPr="00393606" w:rsidRDefault="00393606" w:rsidP="00393606">
      <w:pPr>
        <w:pStyle w:val="Nazevcasti"/>
        <w:rPr>
          <w:rFonts w:ascii="Book Antiqua" w:hAnsi="Book Antiqua"/>
        </w:rPr>
      </w:pPr>
      <w:r w:rsidRPr="007B4A19">
        <w:rPr>
          <w:rFonts w:ascii="Book Antiqua" w:hAnsi="Book Antiqua"/>
        </w:rPr>
        <w:t>ČÁST II</w:t>
      </w:r>
      <w:r>
        <w:rPr>
          <w:rFonts w:ascii="Book Antiqua" w:hAnsi="Book Antiqua"/>
        </w:rPr>
        <w:t>.</w:t>
      </w:r>
      <w:r w:rsidR="004C3657">
        <w:rPr>
          <w:rFonts w:ascii="Book Antiqua" w:hAnsi="Book Antiqua"/>
        </w:rPr>
        <w:t>2</w:t>
      </w:r>
      <w:r w:rsidRPr="007B4A19">
        <w:rPr>
          <w:rFonts w:ascii="Book Antiqua" w:hAnsi="Book Antiqua"/>
        </w:rPr>
        <w:t xml:space="preserve"> – DALŠÍ </w:t>
      </w:r>
      <w:r>
        <w:rPr>
          <w:rFonts w:ascii="Book Antiqua" w:hAnsi="Book Antiqua"/>
        </w:rPr>
        <w:t>POVINNOSTI ZHOTOVITELE</w:t>
      </w:r>
    </w:p>
    <w:p w14:paraId="2C94EA05" w14:textId="407A9F99" w:rsidR="00B7719A" w:rsidRPr="00566E08" w:rsidRDefault="00AC711E" w:rsidP="00B7719A">
      <w:pPr>
        <w:pStyle w:val="Zkladntext"/>
        <w:tabs>
          <w:tab w:val="left" w:pos="709"/>
        </w:tabs>
        <w:suppressAutoHyphens w:val="0"/>
        <w:rPr>
          <w:rFonts w:ascii="Book Antiqua" w:hAnsi="Book Antiqua" w:cs="Arial"/>
          <w:b/>
          <w:bCs/>
          <w:sz w:val="22"/>
          <w:szCs w:val="22"/>
          <w:u w:val="single"/>
        </w:rPr>
      </w:pPr>
      <w:r w:rsidRPr="00566E08">
        <w:rPr>
          <w:rFonts w:ascii="Book Antiqua" w:hAnsi="Book Antiqua" w:cs="Arial"/>
          <w:b/>
          <w:bCs/>
          <w:sz w:val="22"/>
          <w:szCs w:val="22"/>
          <w:u w:val="single"/>
        </w:rPr>
        <w:t>S prováděním Díla se pojí následující povinnosti Zhotovitele:</w:t>
      </w:r>
    </w:p>
    <w:p w14:paraId="2F83727A" w14:textId="111433CD" w:rsidR="004831CD" w:rsidRDefault="00B7719A" w:rsidP="00806184">
      <w:pPr>
        <w:pStyle w:val="Styl4"/>
        <w:numPr>
          <w:ilvl w:val="0"/>
          <w:numId w:val="14"/>
        </w:numPr>
        <w:rPr>
          <w:rFonts w:ascii="Book Antiqua" w:hAnsi="Book Antiqua"/>
        </w:rPr>
      </w:pPr>
      <w:r w:rsidRPr="00CA4A5E">
        <w:rPr>
          <w:rFonts w:ascii="Book Antiqua" w:hAnsi="Book Antiqua"/>
        </w:rPr>
        <w:t xml:space="preserve">Zhotovitel má povinnost přizpůsobit </w:t>
      </w:r>
      <w:r w:rsidR="001A713E" w:rsidRPr="00CA4A5E">
        <w:rPr>
          <w:rFonts w:ascii="Book Antiqua" w:hAnsi="Book Antiqua"/>
        </w:rPr>
        <w:t>způsob a načasování</w:t>
      </w:r>
      <w:r w:rsidRPr="00CA4A5E">
        <w:rPr>
          <w:rFonts w:ascii="Book Antiqua" w:hAnsi="Book Antiqua"/>
        </w:rPr>
        <w:t xml:space="preserve"> postupu prací výsledkům a doporučením plynoucích z</w:t>
      </w:r>
      <w:r w:rsidR="004831CD">
        <w:rPr>
          <w:rFonts w:ascii="Book Antiqua" w:hAnsi="Book Antiqua"/>
        </w:rPr>
        <w:t xml:space="preserve">e souběžně probíhající veřejné zakázky </w:t>
      </w:r>
      <w:r w:rsidR="004831CD" w:rsidRPr="004831CD">
        <w:rPr>
          <w:rFonts w:ascii="Book Antiqua" w:hAnsi="Book Antiqua"/>
          <w:b/>
          <w:bCs/>
        </w:rPr>
        <w:t>Propojení silnic D35 a I/35 Rokytno –Býšť – záchranný archeologický výzkum</w:t>
      </w:r>
      <w:r w:rsidR="004831CD">
        <w:rPr>
          <w:rFonts w:ascii="Book Antiqua" w:hAnsi="Book Antiqua"/>
        </w:rPr>
        <w:t xml:space="preserve">, </w:t>
      </w:r>
      <w:r w:rsidR="006B3C93">
        <w:rPr>
          <w:rFonts w:ascii="Book Antiqua" w:hAnsi="Book Antiqua"/>
        </w:rPr>
        <w:t>tedy koordinovat svůj postup s Oprávněnou organizací ve smyslu Pod-čl. 1.1.29</w:t>
      </w:r>
      <w:r w:rsidR="00A91F2E">
        <w:rPr>
          <w:rFonts w:ascii="Book Antiqua" w:hAnsi="Book Antiqua"/>
        </w:rPr>
        <w:t xml:space="preserve"> Smluvních podmínek</w:t>
      </w:r>
      <w:r w:rsidR="00CC1F6D">
        <w:rPr>
          <w:rFonts w:ascii="Book Antiqua" w:hAnsi="Book Antiqua"/>
        </w:rPr>
        <w:t>;</w:t>
      </w:r>
    </w:p>
    <w:p w14:paraId="73FA6899" w14:textId="0D6F2B1D" w:rsidR="002649DE" w:rsidRDefault="002649DE" w:rsidP="00806184">
      <w:pPr>
        <w:pStyle w:val="Styl4"/>
        <w:numPr>
          <w:ilvl w:val="0"/>
          <w:numId w:val="14"/>
        </w:numPr>
        <w:rPr>
          <w:rFonts w:ascii="Book Antiqua" w:hAnsi="Book Antiqua"/>
        </w:rPr>
      </w:pPr>
      <w:r w:rsidRPr="002649DE">
        <w:rPr>
          <w:rFonts w:ascii="Book Antiqua" w:hAnsi="Book Antiqua"/>
        </w:rPr>
        <w:t>Zhotovitel je povinen postupovat tak, aby minimalizoval poškození veřejně přístupných pozemních komunikací staveništní dopravou. Zhotovitel nesmí využívat veřejně přístupné pozemní komunikace, jejichž stavebně-technický stav neodpovídá možnosti vedení staveništní dopravy</w:t>
      </w:r>
      <w:r>
        <w:rPr>
          <w:rFonts w:ascii="Book Antiqua" w:hAnsi="Book Antiqua"/>
        </w:rPr>
        <w:t>;</w:t>
      </w:r>
    </w:p>
    <w:p w14:paraId="506ADBA4" w14:textId="1474172D" w:rsidR="00A102A4" w:rsidRPr="007B4A19" w:rsidRDefault="00A102A4" w:rsidP="00806184">
      <w:pPr>
        <w:pStyle w:val="Smlouva-slo"/>
        <w:numPr>
          <w:ilvl w:val="0"/>
          <w:numId w:val="14"/>
        </w:numPr>
        <w:spacing w:line="276" w:lineRule="auto"/>
        <w:rPr>
          <w:rFonts w:ascii="Book Antiqua" w:hAnsi="Book Antiqua" w:cs="Arial"/>
          <w:sz w:val="22"/>
          <w:szCs w:val="22"/>
        </w:rPr>
      </w:pPr>
      <w:r w:rsidRPr="007B4A19">
        <w:rPr>
          <w:rFonts w:ascii="Book Antiqua" w:hAnsi="Book Antiqua" w:cs="Arial"/>
          <w:sz w:val="22"/>
          <w:szCs w:val="22"/>
        </w:rPr>
        <w:t xml:space="preserve">Zhotovitel je povinen do 14 kalendářních dnů od nabytí účinnosti smlouvy Objednateli a Koordinátorovi BOZP písemně sdělit veškeré údaje, které jsou předmětem oznámení </w:t>
      </w:r>
      <w:r w:rsidRPr="007B4A19">
        <w:rPr>
          <w:rFonts w:ascii="Book Antiqua" w:hAnsi="Book Antiqua" w:cs="Arial"/>
          <w:sz w:val="22"/>
          <w:szCs w:val="22"/>
        </w:rPr>
        <w:lastRenderedPageBreak/>
        <w:t>o zahájení prací minimálně v rozsahu Přílohy č. 4 k nařízení vlády č. 591/2006 Sb., o bližších minimálních požadavcích na bezpečnost a ochranu zdraví při práci na staveništích, a to zejména odstavců č. 4, 5, 9, 10 a 11</w:t>
      </w:r>
      <w:r w:rsidR="00CC1F6D">
        <w:rPr>
          <w:rFonts w:ascii="Book Antiqua" w:hAnsi="Book Antiqua" w:cs="Arial"/>
          <w:sz w:val="22"/>
          <w:szCs w:val="22"/>
        </w:rPr>
        <w:t>;</w:t>
      </w:r>
    </w:p>
    <w:p w14:paraId="2E790B54" w14:textId="44A9CC39" w:rsidR="00A102A4" w:rsidRPr="007B4A19" w:rsidRDefault="00A102A4" w:rsidP="00806184">
      <w:pPr>
        <w:pStyle w:val="Smlouva-slo"/>
        <w:numPr>
          <w:ilvl w:val="0"/>
          <w:numId w:val="14"/>
        </w:numPr>
        <w:spacing w:line="276" w:lineRule="auto"/>
        <w:rPr>
          <w:rFonts w:ascii="Book Antiqua" w:hAnsi="Book Antiqua" w:cs="Arial"/>
          <w:sz w:val="22"/>
          <w:szCs w:val="22"/>
        </w:rPr>
      </w:pPr>
      <w:r w:rsidRPr="007B4A19">
        <w:rPr>
          <w:rFonts w:ascii="Book Antiqua" w:hAnsi="Book Antiqua" w:cs="Arial"/>
          <w:sz w:val="22"/>
          <w:szCs w:val="22"/>
        </w:rPr>
        <w:t xml:space="preserve">V přípravě </w:t>
      </w:r>
      <w:r w:rsidR="00005BFB">
        <w:rPr>
          <w:rFonts w:ascii="Book Antiqua" w:hAnsi="Book Antiqua" w:cs="Arial"/>
          <w:sz w:val="22"/>
          <w:szCs w:val="22"/>
        </w:rPr>
        <w:t xml:space="preserve">Variace </w:t>
      </w:r>
      <w:r w:rsidRPr="007B4A19">
        <w:rPr>
          <w:rFonts w:ascii="Book Antiqua" w:hAnsi="Book Antiqua" w:cs="Arial"/>
          <w:sz w:val="22"/>
          <w:szCs w:val="22"/>
        </w:rPr>
        <w:t xml:space="preserve">se Zhotovitel zavazuje předložit veškeré podklady pro úpravu či změnu smlouvy rovněž v elektronické </w:t>
      </w:r>
      <w:r w:rsidR="0089644D" w:rsidRPr="007B4A19">
        <w:rPr>
          <w:rFonts w:ascii="Book Antiqua" w:hAnsi="Book Antiqua" w:cs="Arial"/>
          <w:sz w:val="22"/>
          <w:szCs w:val="22"/>
        </w:rPr>
        <w:t>podobě,</w:t>
      </w:r>
      <w:r w:rsidRPr="007B4A19">
        <w:rPr>
          <w:rFonts w:ascii="Book Antiqua" w:hAnsi="Book Antiqua" w:cs="Arial"/>
          <w:sz w:val="22"/>
          <w:szCs w:val="22"/>
        </w:rPr>
        <w:t xml:space="preserve"> a to v elektronickém datovém formátu XC4. Podrobnosti týkající se struktury údajů a metodiky formátu XC4 jsou k dispozici na internetové adrese </w:t>
      </w:r>
      <w:hyperlink r:id="rId10" w:history="1">
        <w:r w:rsidRPr="007B4A19">
          <w:rPr>
            <w:rStyle w:val="Hypertextovodkaz"/>
            <w:rFonts w:ascii="Book Antiqua" w:hAnsi="Book Antiqua" w:cs="Arial"/>
            <w:sz w:val="22"/>
            <w:szCs w:val="22"/>
          </w:rPr>
          <w:t>www.xc4.cz</w:t>
        </w:r>
      </w:hyperlink>
      <w:r w:rsidR="00CC1F6D">
        <w:rPr>
          <w:rFonts w:ascii="Book Antiqua" w:hAnsi="Book Antiqua" w:cs="Arial"/>
          <w:sz w:val="22"/>
          <w:szCs w:val="22"/>
        </w:rPr>
        <w:t>;</w:t>
      </w:r>
    </w:p>
    <w:p w14:paraId="36124F3A" w14:textId="1E099D1F" w:rsidR="009310D2" w:rsidRPr="007B4A19" w:rsidRDefault="009310D2" w:rsidP="00806184">
      <w:pPr>
        <w:pStyle w:val="Smlouva-slo"/>
        <w:numPr>
          <w:ilvl w:val="0"/>
          <w:numId w:val="14"/>
        </w:numPr>
        <w:spacing w:line="276" w:lineRule="auto"/>
        <w:rPr>
          <w:rFonts w:ascii="Book Antiqua" w:hAnsi="Book Antiqua" w:cs="Arial"/>
          <w:sz w:val="22"/>
          <w:szCs w:val="22"/>
        </w:rPr>
      </w:pPr>
      <w:r w:rsidRPr="007B4A19">
        <w:rPr>
          <w:rFonts w:ascii="Book Antiqua" w:hAnsi="Book Antiqua" w:cs="Arial"/>
          <w:sz w:val="22"/>
          <w:szCs w:val="22"/>
        </w:rPr>
        <w:t>Zhotovitel se zavazuje po celou dobu realizace stavby aktivně spolupracovat s projektantem a osobou vykonávající činnost autorského dozoru projektanta při realizaci stavby</w:t>
      </w:r>
      <w:r w:rsidR="00431262">
        <w:rPr>
          <w:rFonts w:ascii="Book Antiqua" w:hAnsi="Book Antiqua" w:cs="Arial"/>
          <w:sz w:val="22"/>
          <w:szCs w:val="22"/>
        </w:rPr>
        <w:t>, stejně tak jako pověřenou osobou Oprávněné organizace ve smyslu 1.1.29 Smluvních podmínek</w:t>
      </w:r>
      <w:r w:rsidR="00CC1F6D">
        <w:rPr>
          <w:rFonts w:ascii="Book Antiqua" w:hAnsi="Book Antiqua" w:cs="Arial"/>
          <w:sz w:val="22"/>
          <w:szCs w:val="22"/>
        </w:rPr>
        <w:t>;</w:t>
      </w:r>
    </w:p>
    <w:p w14:paraId="46F8B032" w14:textId="2266179F" w:rsidR="008E25FF" w:rsidRPr="007B4A19" w:rsidRDefault="009310D2" w:rsidP="00806184">
      <w:pPr>
        <w:pStyle w:val="Smlouva-slo"/>
        <w:numPr>
          <w:ilvl w:val="0"/>
          <w:numId w:val="14"/>
        </w:numPr>
        <w:spacing w:line="276" w:lineRule="auto"/>
        <w:rPr>
          <w:rFonts w:ascii="Book Antiqua" w:hAnsi="Book Antiqua" w:cs="Arial"/>
          <w:sz w:val="22"/>
          <w:szCs w:val="22"/>
        </w:rPr>
      </w:pPr>
      <w:r w:rsidRPr="007B4A19">
        <w:rPr>
          <w:rFonts w:ascii="Book Antiqua" w:hAnsi="Book Antiqua" w:cs="Arial"/>
          <w:sz w:val="22"/>
          <w:szCs w:val="22"/>
        </w:rPr>
        <w:t>V případě zjištění rozporu platné projektové dokumentace se skutečností na stavbě je Zhotovitel povinen zjištěné rozpory řešit ve spolupráci s</w:t>
      </w:r>
      <w:r w:rsidR="0091635B">
        <w:rPr>
          <w:rFonts w:ascii="Book Antiqua" w:hAnsi="Book Antiqua" w:cs="Arial"/>
          <w:sz w:val="22"/>
          <w:szCs w:val="22"/>
        </w:rPr>
        <w:t> </w:t>
      </w:r>
      <w:r w:rsidRPr="007B4A19">
        <w:rPr>
          <w:rFonts w:ascii="Book Antiqua" w:hAnsi="Book Antiqua" w:cs="Arial"/>
          <w:sz w:val="22"/>
          <w:szCs w:val="22"/>
        </w:rPr>
        <w:t>projektantem</w:t>
      </w:r>
      <w:r w:rsidR="0091635B">
        <w:rPr>
          <w:rFonts w:ascii="Book Antiqua" w:hAnsi="Book Antiqua" w:cs="Arial"/>
          <w:sz w:val="22"/>
          <w:szCs w:val="22"/>
        </w:rPr>
        <w:t xml:space="preserve"> a </w:t>
      </w:r>
      <w:r w:rsidR="00B125A7">
        <w:rPr>
          <w:rFonts w:ascii="Book Antiqua" w:hAnsi="Book Antiqua" w:cs="Arial"/>
          <w:sz w:val="22"/>
          <w:szCs w:val="22"/>
        </w:rPr>
        <w:t>Pověřenou osobou Objednatele</w:t>
      </w:r>
      <w:r w:rsidRPr="007B4A19">
        <w:rPr>
          <w:rFonts w:ascii="Book Antiqua" w:hAnsi="Book Antiqua" w:cs="Arial"/>
          <w:sz w:val="22"/>
          <w:szCs w:val="22"/>
        </w:rPr>
        <w:t>, a to bezodkladně</w:t>
      </w:r>
      <w:r w:rsidR="00CC1F6D">
        <w:rPr>
          <w:rFonts w:ascii="Book Antiqua" w:hAnsi="Book Antiqua" w:cs="Arial"/>
          <w:sz w:val="22"/>
          <w:szCs w:val="22"/>
        </w:rPr>
        <w:t>;</w:t>
      </w:r>
    </w:p>
    <w:p w14:paraId="3AE7D1E4" w14:textId="15E5DD24" w:rsidR="009310D2" w:rsidRPr="00806184" w:rsidRDefault="009310D2" w:rsidP="00806184">
      <w:pPr>
        <w:pStyle w:val="Odstavecseseznamem"/>
        <w:numPr>
          <w:ilvl w:val="0"/>
          <w:numId w:val="14"/>
        </w:numPr>
        <w:suppressAutoHyphens/>
        <w:spacing w:after="120" w:line="276" w:lineRule="auto"/>
        <w:jc w:val="both"/>
        <w:rPr>
          <w:rFonts w:ascii="Book Antiqua" w:hAnsi="Book Antiqua" w:cs="Arial"/>
        </w:rPr>
      </w:pPr>
      <w:r w:rsidRPr="00806184">
        <w:rPr>
          <w:rFonts w:ascii="Book Antiqua" w:hAnsi="Book Antiqua" w:cs="Arial"/>
        </w:rPr>
        <w:t xml:space="preserve">Zhotovitel </w:t>
      </w:r>
      <w:r w:rsidRPr="00806184">
        <w:rPr>
          <w:rFonts w:ascii="Book Antiqua" w:hAnsi="Book Antiqua" w:cs="Arial"/>
          <w:color w:val="000000"/>
        </w:rPr>
        <w:t xml:space="preserve">je povinen seznámit </w:t>
      </w:r>
      <w:r w:rsidR="005C0EC9">
        <w:rPr>
          <w:rFonts w:ascii="Book Antiqua" w:hAnsi="Book Antiqua" w:cs="Arial"/>
          <w:color w:val="000000"/>
        </w:rPr>
        <w:t>Zástupce Objednatele</w:t>
      </w:r>
      <w:r w:rsidR="00C8493A" w:rsidRPr="00806184">
        <w:rPr>
          <w:rFonts w:ascii="Book Antiqua" w:hAnsi="Book Antiqua" w:cs="Arial"/>
          <w:color w:val="000000"/>
        </w:rPr>
        <w:t xml:space="preserve"> ve smyslu Pod-čl. </w:t>
      </w:r>
      <w:r w:rsidR="005C0EC9">
        <w:rPr>
          <w:rFonts w:ascii="Book Antiqua" w:hAnsi="Book Antiqua" w:cs="Arial"/>
          <w:color w:val="000000"/>
        </w:rPr>
        <w:t>3.2</w:t>
      </w:r>
      <w:r w:rsidR="00C8493A" w:rsidRPr="00806184">
        <w:rPr>
          <w:rFonts w:ascii="Book Antiqua" w:hAnsi="Book Antiqua" w:cs="Arial"/>
          <w:color w:val="000000"/>
        </w:rPr>
        <w:t xml:space="preserve"> Smluvních podmínek</w:t>
      </w:r>
      <w:r w:rsidRPr="00806184">
        <w:rPr>
          <w:rFonts w:ascii="Book Antiqua" w:hAnsi="Book Antiqua" w:cs="Arial"/>
          <w:color w:val="000000"/>
        </w:rPr>
        <w:t xml:space="preserve">, kteří se budou v souvislosti s prováděním Díla nacházet na </w:t>
      </w:r>
      <w:r w:rsidR="00663A56" w:rsidRPr="00806184">
        <w:rPr>
          <w:rFonts w:ascii="Book Antiqua" w:hAnsi="Book Antiqua" w:cs="Arial"/>
          <w:color w:val="000000"/>
        </w:rPr>
        <w:t>S</w:t>
      </w:r>
      <w:r w:rsidRPr="00806184">
        <w:rPr>
          <w:rFonts w:ascii="Book Antiqua" w:hAnsi="Book Antiqua" w:cs="Arial"/>
          <w:color w:val="000000"/>
        </w:rPr>
        <w:t xml:space="preserve">taveništi, s podmínkami bezpečnosti práce, protipožární ochrany, ochrany zdraví při práci a ochrany životního prostředí. Zhotovitel odpovídá za jejich bezpečnost a ochranu zdraví po dobu jejich pobytu na </w:t>
      </w:r>
      <w:r w:rsidR="00663A56" w:rsidRPr="00806184">
        <w:rPr>
          <w:rFonts w:ascii="Book Antiqua" w:hAnsi="Book Antiqua" w:cs="Arial"/>
          <w:color w:val="000000"/>
        </w:rPr>
        <w:t>S</w:t>
      </w:r>
      <w:r w:rsidRPr="00806184">
        <w:rPr>
          <w:rFonts w:ascii="Book Antiqua" w:hAnsi="Book Antiqua" w:cs="Arial"/>
          <w:color w:val="000000"/>
        </w:rPr>
        <w:t>taveništi</w:t>
      </w:r>
      <w:r w:rsidR="00CC1F6D">
        <w:rPr>
          <w:rFonts w:ascii="Book Antiqua" w:hAnsi="Book Antiqua" w:cs="Arial"/>
          <w:color w:val="000000"/>
        </w:rPr>
        <w:t>;</w:t>
      </w:r>
    </w:p>
    <w:p w14:paraId="6D29E429" w14:textId="5F2FB30E" w:rsidR="00DC30B3" w:rsidRPr="006F3D87" w:rsidRDefault="00A1267A" w:rsidP="00806184">
      <w:pPr>
        <w:pStyle w:val="Smlouva-slo"/>
        <w:numPr>
          <w:ilvl w:val="0"/>
          <w:numId w:val="14"/>
        </w:numPr>
        <w:spacing w:line="276" w:lineRule="auto"/>
        <w:rPr>
          <w:rFonts w:ascii="Book Antiqua" w:hAnsi="Book Antiqua" w:cs="Arial"/>
          <w:sz w:val="22"/>
          <w:szCs w:val="22"/>
        </w:rPr>
      </w:pPr>
      <w:r w:rsidRPr="007B4A19">
        <w:rPr>
          <w:rFonts w:ascii="Book Antiqua" w:hAnsi="Book Antiqua" w:cs="Arial"/>
          <w:color w:val="000000"/>
          <w:sz w:val="22"/>
          <w:szCs w:val="22"/>
        </w:rPr>
        <w:t>Objednatel připomíná</w:t>
      </w:r>
      <w:r w:rsidR="007D775E" w:rsidRPr="007D775E">
        <w:rPr>
          <w:rFonts w:ascii="Book Antiqua" w:hAnsi="Book Antiqua" w:cs="Arial"/>
          <w:color w:val="000000"/>
          <w:sz w:val="22"/>
          <w:szCs w:val="22"/>
        </w:rPr>
        <w:t xml:space="preserve"> </w:t>
      </w:r>
      <w:r w:rsidR="007D775E" w:rsidRPr="007B4A19">
        <w:rPr>
          <w:rFonts w:ascii="Book Antiqua" w:hAnsi="Book Antiqua" w:cs="Arial"/>
          <w:color w:val="000000"/>
          <w:sz w:val="22"/>
          <w:szCs w:val="22"/>
        </w:rPr>
        <w:t>Zhotoviteli</w:t>
      </w:r>
      <w:r w:rsidRPr="007B4A19">
        <w:rPr>
          <w:rFonts w:ascii="Book Antiqua" w:hAnsi="Book Antiqua" w:cs="Arial"/>
          <w:color w:val="000000"/>
          <w:sz w:val="22"/>
          <w:szCs w:val="22"/>
        </w:rPr>
        <w:t xml:space="preserve">, že </w:t>
      </w:r>
      <w:r w:rsidRPr="007D775E">
        <w:rPr>
          <w:rFonts w:ascii="Book Antiqua" w:hAnsi="Book Antiqua" w:cs="Arial"/>
          <w:b/>
          <w:bCs/>
          <w:color w:val="000000"/>
          <w:sz w:val="22"/>
          <w:szCs w:val="22"/>
        </w:rPr>
        <w:t>Nabídková cena musí obsahovat ocenění všech položek nutných k řádnému splnění předmětu veřejné zakázky</w:t>
      </w:r>
      <w:r w:rsidR="007D775E">
        <w:rPr>
          <w:rFonts w:ascii="Book Antiqua" w:hAnsi="Book Antiqua" w:cs="Arial"/>
          <w:b/>
          <w:bCs/>
          <w:color w:val="000000"/>
          <w:sz w:val="22"/>
          <w:szCs w:val="22"/>
        </w:rPr>
        <w:t>,</w:t>
      </w:r>
      <w:r w:rsidRPr="007D775E">
        <w:rPr>
          <w:rFonts w:ascii="Book Antiqua" w:hAnsi="Book Antiqua" w:cs="Arial"/>
          <w:b/>
          <w:bCs/>
          <w:color w:val="000000"/>
          <w:sz w:val="22"/>
          <w:szCs w:val="22"/>
        </w:rPr>
        <w:t xml:space="preserve"> včetně výše uvedených požadavků Objednatele</w:t>
      </w:r>
      <w:r w:rsidRPr="007B4A19">
        <w:rPr>
          <w:rFonts w:ascii="Book Antiqua" w:hAnsi="Book Antiqua" w:cs="Arial"/>
          <w:color w:val="000000"/>
          <w:sz w:val="22"/>
          <w:szCs w:val="22"/>
        </w:rPr>
        <w:t xml:space="preserve">. </w:t>
      </w:r>
      <w:r w:rsidR="00F84BA1">
        <w:rPr>
          <w:rFonts w:ascii="Book Antiqua" w:hAnsi="Book Antiqua" w:cs="Arial"/>
          <w:color w:val="000000"/>
          <w:sz w:val="22"/>
          <w:szCs w:val="22"/>
        </w:rPr>
        <w:t>Zhotovitel</w:t>
      </w:r>
      <w:r w:rsidRPr="007B4A19">
        <w:rPr>
          <w:rFonts w:ascii="Book Antiqua" w:hAnsi="Book Antiqua" w:cs="Arial"/>
          <w:color w:val="000000"/>
          <w:sz w:val="22"/>
          <w:szCs w:val="22"/>
        </w:rPr>
        <w:t xml:space="preserve"> nesmí položky měnit, upravovat, doplňovat ani slučovat.</w:t>
      </w:r>
    </w:p>
    <w:sectPr w:rsidR="00DC30B3" w:rsidRPr="006F3D87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B1667C" w14:textId="77777777" w:rsidR="006C6CDF" w:rsidRDefault="006C6CDF" w:rsidP="002B4ACD">
      <w:pPr>
        <w:spacing w:after="0" w:line="240" w:lineRule="auto"/>
      </w:pPr>
      <w:r>
        <w:separator/>
      </w:r>
    </w:p>
  </w:endnote>
  <w:endnote w:type="continuationSeparator" w:id="0">
    <w:p w14:paraId="49EA0024" w14:textId="77777777" w:rsidR="006C6CDF" w:rsidRDefault="006C6CDF" w:rsidP="002B4ACD">
      <w:pPr>
        <w:spacing w:after="0" w:line="240" w:lineRule="auto"/>
      </w:pPr>
      <w:r>
        <w:continuationSeparator/>
      </w:r>
    </w:p>
  </w:endnote>
  <w:endnote w:type="continuationNotice" w:id="1">
    <w:p w14:paraId="703A54FD" w14:textId="77777777" w:rsidR="006C6CDF" w:rsidRDefault="006C6CD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929489451"/>
      <w:docPartObj>
        <w:docPartGallery w:val="Page Numbers (Bottom of Page)"/>
        <w:docPartUnique/>
      </w:docPartObj>
    </w:sdtPr>
    <w:sdtEndPr/>
    <w:sdtContent>
      <w:p w14:paraId="5365648C" w14:textId="6BDADDE6" w:rsidR="006C6CDF" w:rsidRDefault="006C6CD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DDE59FA" w14:textId="77777777" w:rsidR="006C6CDF" w:rsidRDefault="006C6CD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90E319" w14:textId="77777777" w:rsidR="006C6CDF" w:rsidRDefault="006C6CDF" w:rsidP="002B4ACD">
      <w:pPr>
        <w:spacing w:after="0" w:line="240" w:lineRule="auto"/>
      </w:pPr>
      <w:r>
        <w:separator/>
      </w:r>
    </w:p>
  </w:footnote>
  <w:footnote w:type="continuationSeparator" w:id="0">
    <w:p w14:paraId="59B7CB0E" w14:textId="77777777" w:rsidR="006C6CDF" w:rsidRDefault="006C6CDF" w:rsidP="002B4ACD">
      <w:pPr>
        <w:spacing w:after="0" w:line="240" w:lineRule="auto"/>
      </w:pPr>
      <w:r>
        <w:continuationSeparator/>
      </w:r>
    </w:p>
  </w:footnote>
  <w:footnote w:type="continuationNotice" w:id="1">
    <w:p w14:paraId="41E51E2C" w14:textId="77777777" w:rsidR="006C6CDF" w:rsidRDefault="006C6CD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47DF22" w14:textId="01A5EEA2" w:rsidR="006C6CDF" w:rsidRDefault="006C6CDF" w:rsidP="004E7890">
    <w:pPr>
      <w:tabs>
        <w:tab w:val="left" w:pos="7710"/>
      </w:tabs>
    </w:pPr>
    <w:r>
      <w:rPr>
        <w:noProof/>
      </w:rPr>
      <w:drawing>
        <wp:inline distT="0" distB="0" distL="0" distR="0" wp14:anchorId="256754BD" wp14:editId="6E81C0F4">
          <wp:extent cx="1274445" cy="731520"/>
          <wp:effectExtent l="0" t="0" r="1905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55C07DAA" wp14:editId="0F4642F8">
          <wp:simplePos x="2171700" y="447675"/>
          <wp:positionH relativeFrom="column">
            <wp:align>right</wp:align>
          </wp:positionH>
          <wp:positionV relativeFrom="paragraph">
            <wp:posOffset>0</wp:posOffset>
          </wp:positionV>
          <wp:extent cx="2476800" cy="864000"/>
          <wp:effectExtent l="0" t="0" r="0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800" cy="864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31030"/>
    <w:multiLevelType w:val="hybridMultilevel"/>
    <w:tmpl w:val="82F8CC32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D05C29"/>
    <w:multiLevelType w:val="multilevel"/>
    <w:tmpl w:val="FE1AC1C6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358439A8"/>
    <w:multiLevelType w:val="multilevel"/>
    <w:tmpl w:val="7C2C46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18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432"/>
        </w:tabs>
        <w:ind w:left="432" w:hanging="432"/>
      </w:pPr>
      <w:rPr>
        <w:rFonts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4C8D6FA6"/>
    <w:multiLevelType w:val="multilevel"/>
    <w:tmpl w:val="0F0A6FEC"/>
    <w:lvl w:ilvl="0">
      <w:start w:val="1"/>
      <w:numFmt w:val="decimal"/>
      <w:lvlText w:val="%1."/>
      <w:lvlJc w:val="left"/>
      <w:pPr>
        <w:tabs>
          <w:tab w:val="num" w:pos="624"/>
        </w:tabs>
        <w:ind w:left="180" w:hanging="10"/>
      </w:pPr>
      <w:rPr>
        <w:rFonts w:hint="default"/>
        <w:b w:val="0"/>
        <w:bCs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252"/>
        </w:tabs>
        <w:ind w:left="252" w:hanging="432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044"/>
        </w:tabs>
        <w:ind w:left="104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620"/>
        </w:tabs>
        <w:ind w:left="154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340"/>
        </w:tabs>
        <w:ind w:left="20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55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780"/>
        </w:tabs>
        <w:ind w:left="35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00"/>
        </w:tabs>
        <w:ind w:left="4140" w:hanging="1440"/>
      </w:pPr>
      <w:rPr>
        <w:rFonts w:hint="default"/>
      </w:rPr>
    </w:lvl>
  </w:abstractNum>
  <w:abstractNum w:abstractNumId="4" w15:restartNumberingAfterBreak="0">
    <w:nsid w:val="53B509BA"/>
    <w:multiLevelType w:val="hybridMultilevel"/>
    <w:tmpl w:val="8F4CB9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0F4D69"/>
    <w:multiLevelType w:val="hybridMultilevel"/>
    <w:tmpl w:val="03985C0E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1A52C0"/>
    <w:multiLevelType w:val="hybridMultilevel"/>
    <w:tmpl w:val="5E541B5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8543A0"/>
    <w:multiLevelType w:val="hybridMultilevel"/>
    <w:tmpl w:val="989C170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210B07"/>
    <w:multiLevelType w:val="hybridMultilevel"/>
    <w:tmpl w:val="68AAD73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4F559EE"/>
    <w:multiLevelType w:val="hybridMultilevel"/>
    <w:tmpl w:val="816208C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CD252E"/>
    <w:multiLevelType w:val="hybridMultilevel"/>
    <w:tmpl w:val="209C6B32"/>
    <w:lvl w:ilvl="0" w:tplc="37ECD8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8FA60BB"/>
    <w:multiLevelType w:val="hybridMultilevel"/>
    <w:tmpl w:val="5106A2B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A4E48B5"/>
    <w:multiLevelType w:val="hybridMultilevel"/>
    <w:tmpl w:val="0E0C4434"/>
    <w:lvl w:ilvl="0" w:tplc="04050013">
      <w:start w:val="1"/>
      <w:numFmt w:val="upperRoman"/>
      <w:lvlText w:val="%1."/>
      <w:lvlJc w:val="righ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10"/>
  </w:num>
  <w:num w:numId="3">
    <w:abstractNumId w:val="7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2"/>
    <w:lvlOverride w:ilvl="0">
      <w:lvl w:ilvl="0">
        <w:start w:val="1"/>
        <w:numFmt w:val="upperRoman"/>
        <w:lvlText w:val="%1."/>
        <w:lvlJc w:val="right"/>
        <w:pPr>
          <w:tabs>
            <w:tab w:val="num" w:pos="360"/>
          </w:tabs>
          <w:ind w:left="360" w:hanging="180"/>
        </w:pPr>
        <w:rPr>
          <w:rFonts w:ascii="Arial" w:hAnsi="Arial" w:cs="Arial" w:hint="default"/>
          <w:b/>
          <w:i w:val="0"/>
          <w:caps w:val="0"/>
          <w:strike w:val="0"/>
          <w:dstrike w:val="0"/>
          <w:vanish w:val="0"/>
          <w:color w:val="000000"/>
          <w:sz w:val="22"/>
          <w:szCs w:val="22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432"/>
          </w:tabs>
          <w:ind w:left="0" w:firstLine="0"/>
        </w:pPr>
        <w:rPr>
          <w:rFonts w:ascii="Arial" w:hAnsi="Arial" w:cs="Arial" w:hint="default"/>
          <w:b w:val="0"/>
          <w:i w:val="0"/>
          <w:color w:val="auto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224"/>
          </w:tabs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lowerLetter"/>
        <w:lvlText w:val="%1.%2.%3.%4)"/>
        <w:lvlJc w:val="left"/>
        <w:pPr>
          <w:tabs>
            <w:tab w:val="num" w:pos="180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lowerRoman"/>
        <w:lvlText w:val="(%5.)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lowerLetter"/>
        <w:lvlText w:val="%7)"/>
        <w:lvlJc w:val="left"/>
        <w:pPr>
          <w:tabs>
            <w:tab w:val="num" w:pos="2520"/>
          </w:tabs>
          <w:ind w:left="2520" w:hanging="360"/>
        </w:pPr>
        <w:rPr>
          <w:rFonts w:hint="default"/>
          <w:b w:val="0"/>
          <w:i w:val="0"/>
          <w:caps w:val="0"/>
          <w:strike w:val="0"/>
          <w:dstrike w:val="0"/>
          <w:vanish w:val="0"/>
          <w:color w:val="000000"/>
          <w:sz w:val="24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9">
    <w:abstractNumId w:val="2"/>
    <w:lvlOverride w:ilvl="0">
      <w:lvl w:ilvl="0">
        <w:start w:val="1"/>
        <w:numFmt w:val="upperRoman"/>
        <w:lvlText w:val="%1."/>
        <w:lvlJc w:val="right"/>
        <w:pPr>
          <w:tabs>
            <w:tab w:val="num" w:pos="360"/>
          </w:tabs>
          <w:ind w:left="360" w:hanging="180"/>
        </w:pPr>
        <w:rPr>
          <w:rFonts w:ascii="Arial" w:hAnsi="Arial" w:cs="Arial" w:hint="default"/>
          <w:b/>
          <w:i w:val="0"/>
          <w:caps w:val="0"/>
          <w:strike w:val="0"/>
          <w:dstrike w:val="0"/>
          <w:vanish w:val="0"/>
          <w:color w:val="000000"/>
          <w:sz w:val="22"/>
          <w:szCs w:val="22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432"/>
          </w:tabs>
          <w:ind w:left="0" w:firstLine="0"/>
        </w:pPr>
        <w:rPr>
          <w:rFonts w:ascii="Arial" w:hAnsi="Arial" w:cs="Arial" w:hint="default"/>
          <w:b w:val="0"/>
          <w:i w:val="0"/>
          <w:color w:val="auto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224"/>
          </w:tabs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lowerLetter"/>
        <w:lvlText w:val="%1.%2.%3.%4)"/>
        <w:lvlJc w:val="left"/>
        <w:pPr>
          <w:tabs>
            <w:tab w:val="num" w:pos="180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lowerRoman"/>
        <w:lvlText w:val="(%5.)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lowerLetter"/>
        <w:lvlText w:val="%7)"/>
        <w:lvlJc w:val="left"/>
        <w:pPr>
          <w:tabs>
            <w:tab w:val="num" w:pos="2520"/>
          </w:tabs>
          <w:ind w:left="2520" w:hanging="360"/>
        </w:pPr>
        <w:rPr>
          <w:rFonts w:hint="default"/>
          <w:b w:val="0"/>
          <w:i w:val="0"/>
          <w:caps w:val="0"/>
          <w:strike w:val="0"/>
          <w:dstrike w:val="0"/>
          <w:vanish w:val="0"/>
          <w:color w:val="000000"/>
          <w:sz w:val="24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10">
    <w:abstractNumId w:val="0"/>
  </w:num>
  <w:num w:numId="11">
    <w:abstractNumId w:val="12"/>
  </w:num>
  <w:num w:numId="12">
    <w:abstractNumId w:val="3"/>
  </w:num>
  <w:num w:numId="13">
    <w:abstractNumId w:val="4"/>
  </w:num>
  <w:num w:numId="14">
    <w:abstractNumId w:val="8"/>
  </w:num>
  <w:num w:numId="15">
    <w:abstractNumId w:val="3"/>
    <w:lvlOverride w:ilvl="0">
      <w:lvl w:ilvl="0">
        <w:start w:val="1"/>
        <w:numFmt w:val="decimal"/>
        <w:lvlText w:val="%1."/>
        <w:lvlJc w:val="left"/>
        <w:pPr>
          <w:tabs>
            <w:tab w:val="num" w:pos="180"/>
          </w:tabs>
          <w:ind w:left="180" w:hanging="180"/>
        </w:pPr>
        <w:rPr>
          <w:rFonts w:hint="default"/>
          <w:b w:val="0"/>
          <w:bCs/>
          <w:i w:val="0"/>
          <w:caps w:val="0"/>
          <w:strike w:val="0"/>
          <w:dstrike w:val="0"/>
          <w:vanish w:val="0"/>
          <w:color w:val="000000"/>
          <w:sz w:val="22"/>
          <w:szCs w:val="22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252"/>
          </w:tabs>
          <w:ind w:left="252" w:hanging="432"/>
        </w:pPr>
        <w:rPr>
          <w:rFonts w:ascii="Arial" w:hAnsi="Arial" w:cs="Arial" w:hint="default"/>
          <w:b w:val="0"/>
          <w:i w:val="0"/>
          <w:color w:val="auto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044"/>
          </w:tabs>
          <w:ind w:left="104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lowerLetter"/>
        <w:lvlText w:val="%1.%2.%3.%4)"/>
        <w:lvlJc w:val="left"/>
        <w:pPr>
          <w:tabs>
            <w:tab w:val="num" w:pos="1620"/>
          </w:tabs>
          <w:ind w:left="1548" w:hanging="648"/>
        </w:pPr>
        <w:rPr>
          <w:rFonts w:hint="default"/>
        </w:rPr>
      </w:lvl>
    </w:lvlOverride>
    <w:lvlOverride w:ilvl="4">
      <w:lvl w:ilvl="4">
        <w:start w:val="1"/>
        <w:numFmt w:val="lowerRoman"/>
        <w:lvlText w:val="(%5.)"/>
        <w:lvlJc w:val="left"/>
        <w:pPr>
          <w:tabs>
            <w:tab w:val="num" w:pos="2340"/>
          </w:tabs>
          <w:ind w:left="205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700"/>
          </w:tabs>
          <w:ind w:left="2556" w:hanging="936"/>
        </w:pPr>
        <w:rPr>
          <w:rFonts w:hint="default"/>
        </w:rPr>
      </w:lvl>
    </w:lvlOverride>
    <w:lvlOverride w:ilvl="6">
      <w:lvl w:ilvl="6">
        <w:start w:val="1"/>
        <w:numFmt w:val="lowerLetter"/>
        <w:lvlText w:val="%7)"/>
        <w:lvlJc w:val="left"/>
        <w:pPr>
          <w:tabs>
            <w:tab w:val="num" w:pos="2340"/>
          </w:tabs>
          <w:ind w:left="2340" w:hanging="360"/>
        </w:pPr>
        <w:rPr>
          <w:rFonts w:hint="default"/>
          <w:b w:val="0"/>
          <w:i w:val="0"/>
          <w:caps w:val="0"/>
          <w:strike w:val="0"/>
          <w:dstrike w:val="0"/>
          <w:vanish w:val="0"/>
          <w:color w:val="000000"/>
          <w:sz w:val="24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780"/>
          </w:tabs>
          <w:ind w:left="356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500"/>
          </w:tabs>
          <w:ind w:left="4140" w:hanging="1440"/>
        </w:pPr>
        <w:rPr>
          <w:rFonts w:hint="default"/>
        </w:rPr>
      </w:lvl>
    </w:lvlOverride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EDB"/>
    <w:rsid w:val="00001B2E"/>
    <w:rsid w:val="00005BFB"/>
    <w:rsid w:val="000060C4"/>
    <w:rsid w:val="000074DE"/>
    <w:rsid w:val="0001391E"/>
    <w:rsid w:val="00040107"/>
    <w:rsid w:val="00067A63"/>
    <w:rsid w:val="00072BD9"/>
    <w:rsid w:val="000730D4"/>
    <w:rsid w:val="000749CA"/>
    <w:rsid w:val="00090B90"/>
    <w:rsid w:val="000A2E71"/>
    <w:rsid w:val="000A6030"/>
    <w:rsid w:val="000B71FF"/>
    <w:rsid w:val="000D50BB"/>
    <w:rsid w:val="000D7E42"/>
    <w:rsid w:val="000E0B7C"/>
    <w:rsid w:val="000F20A6"/>
    <w:rsid w:val="000F25D0"/>
    <w:rsid w:val="000F35A1"/>
    <w:rsid w:val="00115C9C"/>
    <w:rsid w:val="00132ED7"/>
    <w:rsid w:val="001616A5"/>
    <w:rsid w:val="00176E3B"/>
    <w:rsid w:val="0018312F"/>
    <w:rsid w:val="001A713E"/>
    <w:rsid w:val="001C47C2"/>
    <w:rsid w:val="001C6C28"/>
    <w:rsid w:val="001D2FCF"/>
    <w:rsid w:val="001D6973"/>
    <w:rsid w:val="001E6AA2"/>
    <w:rsid w:val="001F4E6F"/>
    <w:rsid w:val="00203A82"/>
    <w:rsid w:val="00216DF3"/>
    <w:rsid w:val="00220A91"/>
    <w:rsid w:val="00234080"/>
    <w:rsid w:val="002412D4"/>
    <w:rsid w:val="00247D42"/>
    <w:rsid w:val="002649DE"/>
    <w:rsid w:val="00265600"/>
    <w:rsid w:val="002720F9"/>
    <w:rsid w:val="0028119A"/>
    <w:rsid w:val="0029779D"/>
    <w:rsid w:val="002A0CCC"/>
    <w:rsid w:val="002B4ACD"/>
    <w:rsid w:val="002B5235"/>
    <w:rsid w:val="002B5DB1"/>
    <w:rsid w:val="003006E1"/>
    <w:rsid w:val="00306313"/>
    <w:rsid w:val="00306444"/>
    <w:rsid w:val="00315DE6"/>
    <w:rsid w:val="00316267"/>
    <w:rsid w:val="0031683D"/>
    <w:rsid w:val="0037197F"/>
    <w:rsid w:val="00373C3A"/>
    <w:rsid w:val="00393606"/>
    <w:rsid w:val="00397B2B"/>
    <w:rsid w:val="003A6D35"/>
    <w:rsid w:val="003C007F"/>
    <w:rsid w:val="0040103A"/>
    <w:rsid w:val="00404973"/>
    <w:rsid w:val="004120C8"/>
    <w:rsid w:val="00412664"/>
    <w:rsid w:val="0041300F"/>
    <w:rsid w:val="00422FE1"/>
    <w:rsid w:val="004309E2"/>
    <w:rsid w:val="00431262"/>
    <w:rsid w:val="00431BDF"/>
    <w:rsid w:val="0043489F"/>
    <w:rsid w:val="004359DA"/>
    <w:rsid w:val="004568FA"/>
    <w:rsid w:val="004752CE"/>
    <w:rsid w:val="004831CD"/>
    <w:rsid w:val="004838DF"/>
    <w:rsid w:val="00485859"/>
    <w:rsid w:val="00494060"/>
    <w:rsid w:val="004A1447"/>
    <w:rsid w:val="004A49C4"/>
    <w:rsid w:val="004C3657"/>
    <w:rsid w:val="004D10CE"/>
    <w:rsid w:val="004E1D30"/>
    <w:rsid w:val="004E1FBC"/>
    <w:rsid w:val="004E7890"/>
    <w:rsid w:val="00500D0A"/>
    <w:rsid w:val="0050415C"/>
    <w:rsid w:val="005050F5"/>
    <w:rsid w:val="00517444"/>
    <w:rsid w:val="00547AE3"/>
    <w:rsid w:val="00551238"/>
    <w:rsid w:val="00553814"/>
    <w:rsid w:val="00566E08"/>
    <w:rsid w:val="005751AF"/>
    <w:rsid w:val="005A2CC2"/>
    <w:rsid w:val="005A351E"/>
    <w:rsid w:val="005A4E33"/>
    <w:rsid w:val="005B358B"/>
    <w:rsid w:val="005C0EC9"/>
    <w:rsid w:val="005C59F7"/>
    <w:rsid w:val="005D4751"/>
    <w:rsid w:val="005D62E1"/>
    <w:rsid w:val="005E6853"/>
    <w:rsid w:val="005F02E8"/>
    <w:rsid w:val="005F0DAF"/>
    <w:rsid w:val="00604EA0"/>
    <w:rsid w:val="00604F1B"/>
    <w:rsid w:val="0061750D"/>
    <w:rsid w:val="006200E9"/>
    <w:rsid w:val="0063719F"/>
    <w:rsid w:val="00646374"/>
    <w:rsid w:val="006519F3"/>
    <w:rsid w:val="00656C7F"/>
    <w:rsid w:val="00663A56"/>
    <w:rsid w:val="00670222"/>
    <w:rsid w:val="0067370A"/>
    <w:rsid w:val="006809E6"/>
    <w:rsid w:val="00683222"/>
    <w:rsid w:val="00683DAB"/>
    <w:rsid w:val="006B3C93"/>
    <w:rsid w:val="006B40F7"/>
    <w:rsid w:val="006C6CDF"/>
    <w:rsid w:val="006D0EC6"/>
    <w:rsid w:val="006D1DE7"/>
    <w:rsid w:val="006D4F8A"/>
    <w:rsid w:val="006F3D87"/>
    <w:rsid w:val="00704CE4"/>
    <w:rsid w:val="007068AB"/>
    <w:rsid w:val="007150CA"/>
    <w:rsid w:val="00720C10"/>
    <w:rsid w:val="00730C3F"/>
    <w:rsid w:val="007320F8"/>
    <w:rsid w:val="00732ACA"/>
    <w:rsid w:val="00736DDD"/>
    <w:rsid w:val="00741458"/>
    <w:rsid w:val="00751DB3"/>
    <w:rsid w:val="00776A56"/>
    <w:rsid w:val="007B4A19"/>
    <w:rsid w:val="007C1755"/>
    <w:rsid w:val="007C3DB2"/>
    <w:rsid w:val="007C750D"/>
    <w:rsid w:val="007D3888"/>
    <w:rsid w:val="007D775E"/>
    <w:rsid w:val="007F416C"/>
    <w:rsid w:val="00805265"/>
    <w:rsid w:val="00806184"/>
    <w:rsid w:val="00807DCA"/>
    <w:rsid w:val="008121BF"/>
    <w:rsid w:val="00815CB9"/>
    <w:rsid w:val="00832D9D"/>
    <w:rsid w:val="00855204"/>
    <w:rsid w:val="00857EB4"/>
    <w:rsid w:val="00866598"/>
    <w:rsid w:val="0089170C"/>
    <w:rsid w:val="0089644D"/>
    <w:rsid w:val="008A71C5"/>
    <w:rsid w:val="008C0310"/>
    <w:rsid w:val="008C0EDB"/>
    <w:rsid w:val="008E00BB"/>
    <w:rsid w:val="008E25FF"/>
    <w:rsid w:val="008E4BE1"/>
    <w:rsid w:val="008F0D46"/>
    <w:rsid w:val="008F2DD1"/>
    <w:rsid w:val="0091635B"/>
    <w:rsid w:val="009310D2"/>
    <w:rsid w:val="009C678C"/>
    <w:rsid w:val="009E26DE"/>
    <w:rsid w:val="009E4D13"/>
    <w:rsid w:val="00A102A4"/>
    <w:rsid w:val="00A1267A"/>
    <w:rsid w:val="00A24A22"/>
    <w:rsid w:val="00A26681"/>
    <w:rsid w:val="00A41CE3"/>
    <w:rsid w:val="00A53778"/>
    <w:rsid w:val="00A91F2E"/>
    <w:rsid w:val="00AB32FB"/>
    <w:rsid w:val="00AC711E"/>
    <w:rsid w:val="00AD0A4A"/>
    <w:rsid w:val="00AD5FE5"/>
    <w:rsid w:val="00AD7623"/>
    <w:rsid w:val="00B125A7"/>
    <w:rsid w:val="00B17494"/>
    <w:rsid w:val="00B24DA6"/>
    <w:rsid w:val="00B32654"/>
    <w:rsid w:val="00B35299"/>
    <w:rsid w:val="00B476A2"/>
    <w:rsid w:val="00B60595"/>
    <w:rsid w:val="00B65D8D"/>
    <w:rsid w:val="00B66A3B"/>
    <w:rsid w:val="00B66B24"/>
    <w:rsid w:val="00B7719A"/>
    <w:rsid w:val="00B85DBB"/>
    <w:rsid w:val="00BD2185"/>
    <w:rsid w:val="00BF4C22"/>
    <w:rsid w:val="00BF5997"/>
    <w:rsid w:val="00C03915"/>
    <w:rsid w:val="00C13B83"/>
    <w:rsid w:val="00C23459"/>
    <w:rsid w:val="00C31E02"/>
    <w:rsid w:val="00C41D7F"/>
    <w:rsid w:val="00C44DFE"/>
    <w:rsid w:val="00C47F50"/>
    <w:rsid w:val="00C570FA"/>
    <w:rsid w:val="00C60598"/>
    <w:rsid w:val="00C71566"/>
    <w:rsid w:val="00C8493A"/>
    <w:rsid w:val="00C911F3"/>
    <w:rsid w:val="00C96E59"/>
    <w:rsid w:val="00CA4A5E"/>
    <w:rsid w:val="00CA6E19"/>
    <w:rsid w:val="00CB1C7C"/>
    <w:rsid w:val="00CB7EC5"/>
    <w:rsid w:val="00CC01CD"/>
    <w:rsid w:val="00CC1F6D"/>
    <w:rsid w:val="00CC1FEB"/>
    <w:rsid w:val="00CC2D9A"/>
    <w:rsid w:val="00CD00F3"/>
    <w:rsid w:val="00CE034E"/>
    <w:rsid w:val="00CE77F3"/>
    <w:rsid w:val="00CF0847"/>
    <w:rsid w:val="00CF6209"/>
    <w:rsid w:val="00D073D8"/>
    <w:rsid w:val="00D1776B"/>
    <w:rsid w:val="00D17835"/>
    <w:rsid w:val="00D237F9"/>
    <w:rsid w:val="00D323F7"/>
    <w:rsid w:val="00D45870"/>
    <w:rsid w:val="00D567FD"/>
    <w:rsid w:val="00D678F6"/>
    <w:rsid w:val="00D763C0"/>
    <w:rsid w:val="00D96AD5"/>
    <w:rsid w:val="00DC04C8"/>
    <w:rsid w:val="00DC30B3"/>
    <w:rsid w:val="00DC428F"/>
    <w:rsid w:val="00DC4478"/>
    <w:rsid w:val="00DD5DEB"/>
    <w:rsid w:val="00E0081B"/>
    <w:rsid w:val="00E21930"/>
    <w:rsid w:val="00E25364"/>
    <w:rsid w:val="00E32B38"/>
    <w:rsid w:val="00E51719"/>
    <w:rsid w:val="00E56806"/>
    <w:rsid w:val="00E671DE"/>
    <w:rsid w:val="00E72DFE"/>
    <w:rsid w:val="00E81704"/>
    <w:rsid w:val="00E85AC8"/>
    <w:rsid w:val="00E91CFA"/>
    <w:rsid w:val="00E963BB"/>
    <w:rsid w:val="00EA3A51"/>
    <w:rsid w:val="00ED0057"/>
    <w:rsid w:val="00ED17EE"/>
    <w:rsid w:val="00ED6AB8"/>
    <w:rsid w:val="00EE5633"/>
    <w:rsid w:val="00EF6EC9"/>
    <w:rsid w:val="00F249F4"/>
    <w:rsid w:val="00F2512E"/>
    <w:rsid w:val="00F304C9"/>
    <w:rsid w:val="00F30A2E"/>
    <w:rsid w:val="00F551BB"/>
    <w:rsid w:val="00F83BDB"/>
    <w:rsid w:val="00F84BA1"/>
    <w:rsid w:val="00F86065"/>
    <w:rsid w:val="00FB501D"/>
    <w:rsid w:val="00FB62DB"/>
    <w:rsid w:val="00FC1A8F"/>
    <w:rsid w:val="00FC7597"/>
    <w:rsid w:val="00FD2A21"/>
    <w:rsid w:val="00FE2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44811293"/>
  <w15:chartTrackingRefBased/>
  <w15:docId w15:val="{F02EF4A7-9287-4A86-AC17-447E77C7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zevcasti">
    <w:name w:val="Nazev casti"/>
    <w:basedOn w:val="Normln"/>
    <w:qFormat/>
    <w:rsid w:val="00072BD9"/>
    <w:pPr>
      <w:spacing w:before="120" w:after="120" w:line="240" w:lineRule="auto"/>
      <w:jc w:val="center"/>
    </w:pPr>
    <w:rPr>
      <w:rFonts w:ascii="Times New Roman" w:eastAsiaTheme="minorEastAsia" w:hAnsi="Times New Roman" w:cs="Times New Roman"/>
      <w:b/>
      <w:bCs/>
      <w:caps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072BD9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072BD9"/>
    <w:pPr>
      <w:ind w:left="720"/>
      <w:contextualSpacing/>
    </w:pPr>
  </w:style>
  <w:style w:type="paragraph" w:styleId="Zkladntext">
    <w:name w:val="Body Text"/>
    <w:basedOn w:val="Normln"/>
    <w:link w:val="ZkladntextChar"/>
    <w:rsid w:val="00DC30B3"/>
    <w:pPr>
      <w:suppressAutoHyphens/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DC30B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Odstavec0">
    <w:name w:val="Odstavec0"/>
    <w:basedOn w:val="Normln"/>
    <w:rsid w:val="00DC30B3"/>
    <w:pPr>
      <w:tabs>
        <w:tab w:val="left" w:pos="709"/>
      </w:tabs>
      <w:suppressAutoHyphens/>
      <w:spacing w:before="120" w:after="0" w:line="276" w:lineRule="auto"/>
      <w:ind w:left="737" w:hanging="737"/>
      <w:jc w:val="both"/>
    </w:pPr>
    <w:rPr>
      <w:rFonts w:ascii="Arial" w:eastAsia="Times New Roman" w:hAnsi="Arial" w:cs="Arial"/>
      <w:sz w:val="24"/>
      <w:szCs w:val="20"/>
      <w:lang w:val="en-GB" w:eastAsia="ar-SA"/>
    </w:rPr>
  </w:style>
  <w:style w:type="paragraph" w:customStyle="1" w:styleId="Styl4">
    <w:name w:val="Styl4"/>
    <w:basedOn w:val="Normln"/>
    <w:qFormat/>
    <w:rsid w:val="00DC30B3"/>
    <w:pPr>
      <w:spacing w:after="120" w:line="276" w:lineRule="auto"/>
      <w:jc w:val="both"/>
    </w:pPr>
    <w:rPr>
      <w:rFonts w:ascii="Arial" w:eastAsia="Times New Roman" w:hAnsi="Arial" w:cs="Arial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4E78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7890"/>
  </w:style>
  <w:style w:type="paragraph" w:styleId="Zpat">
    <w:name w:val="footer"/>
    <w:basedOn w:val="Normln"/>
    <w:link w:val="ZpatChar"/>
    <w:uiPriority w:val="99"/>
    <w:unhideWhenUsed/>
    <w:rsid w:val="004E78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7890"/>
  </w:style>
  <w:style w:type="character" w:styleId="Hypertextovodkaz">
    <w:name w:val="Hyperlink"/>
    <w:rsid w:val="00A102A4"/>
    <w:rPr>
      <w:color w:val="0000FF"/>
      <w:u w:val="single"/>
    </w:rPr>
  </w:style>
  <w:style w:type="paragraph" w:customStyle="1" w:styleId="Smlouva-slo">
    <w:name w:val="Smlouva-číslo"/>
    <w:basedOn w:val="Normln"/>
    <w:rsid w:val="00A102A4"/>
    <w:pPr>
      <w:widowControl w:val="0"/>
      <w:spacing w:before="120" w:after="120" w:line="240" w:lineRule="atLeast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character" w:styleId="Odkaznakoment">
    <w:name w:val="annotation reference"/>
    <w:basedOn w:val="Standardnpsmoodstavce"/>
    <w:uiPriority w:val="99"/>
    <w:unhideWhenUsed/>
    <w:rsid w:val="00FC759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759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759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759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7597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C75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C7597"/>
    <w:rPr>
      <w:rFonts w:ascii="Segoe UI" w:hAnsi="Segoe UI" w:cs="Segoe UI"/>
      <w:sz w:val="18"/>
      <w:szCs w:val="18"/>
    </w:rPr>
  </w:style>
  <w:style w:type="character" w:styleId="Nevyeenzmnka">
    <w:name w:val="Unresolved Mention"/>
    <w:basedOn w:val="Standardnpsmoodstavce"/>
    <w:uiPriority w:val="99"/>
    <w:semiHidden/>
    <w:unhideWhenUsed/>
    <w:rsid w:val="00B7719A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4A144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9070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xc4.cz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25" ma:contentTypeDescription="Vytvoří nový dokument" ma:contentTypeScope="" ma:versionID="5cc9ecd6bd192179fafba085baf4ad97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2644e7faed8e4857091347f3643ee6b2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romotedState xmlns="http://schemas.microsoft.com/sharepoint/v3">0</PromotedState>
  </documentManagement>
</p:properties>
</file>

<file path=customXml/itemProps1.xml><?xml version="1.0" encoding="utf-8"?>
<ds:datastoreItem xmlns:ds="http://schemas.openxmlformats.org/officeDocument/2006/customXml" ds:itemID="{965A6657-8327-47F0-8C5F-4F7C744B1A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A0A89A6-1061-4B25-A417-8DA1950B65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93E359-9A5D-433C-ADEA-40EA4330CA54}">
  <ds:schemaRefs>
    <ds:schemaRef ds:uri="http://schemas.microsoft.com/office/2006/metadata/properties"/>
    <ds:schemaRef ds:uri="1b0a2e31-377b-4a4f-8b74-191dd8e2e1a2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1c5afdd9-10a7-4471-939e-3b6fefddb120"/>
    <ds:schemaRef ds:uri="http://purl.org/dc/dcmitype/"/>
    <ds:schemaRef ds:uri="http://schemas.microsoft.com/office/infopath/2007/PartnerControls"/>
    <ds:schemaRef ds:uri="http://purl.org/dc/elements/1.1/"/>
    <ds:schemaRef ds:uri="http://schemas.microsoft.com/sharepoint/v3/fields"/>
    <ds:schemaRef ds:uri="http://schemas.microsoft.com/sharepoint/v3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4</Pages>
  <Words>992</Words>
  <Characters>5856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Arnošt Táborský</dc:creator>
  <cp:keywords/>
  <dc:description/>
  <cp:lastModifiedBy>Martin Altmann</cp:lastModifiedBy>
  <cp:revision>19</cp:revision>
  <cp:lastPrinted>2019-03-08T12:41:00Z</cp:lastPrinted>
  <dcterms:created xsi:type="dcterms:W3CDTF">2020-04-07T11:07:00Z</dcterms:created>
  <dcterms:modified xsi:type="dcterms:W3CDTF">2020-09-09T08:00:00Z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</Properties>
</file>